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78C0D" w14:textId="77777777" w:rsidR="00ED5DCE" w:rsidRPr="00ED5DCE" w:rsidRDefault="00ED5DCE" w:rsidP="00ED5DCE">
      <w:pPr>
        <w:pStyle w:val="Virsraksts1"/>
        <w:pBdr>
          <w:bottom w:val="single" w:sz="18" w:space="1" w:color="008080"/>
        </w:pBdr>
        <w:rPr>
          <w:rFonts w:ascii="Arial" w:eastAsia="Times New Roman" w:hAnsi="Arial" w:cs="Arial"/>
          <w:b/>
          <w:sz w:val="26"/>
          <w:szCs w:val="26"/>
          <w:lang w:eastAsia="lv-LV"/>
        </w:rPr>
      </w:pPr>
      <w:r w:rsidRPr="00ED5DCE">
        <w:rPr>
          <w:rFonts w:ascii="Arial" w:eastAsia="Times New Roman" w:hAnsi="Arial" w:cs="Arial"/>
          <w:b/>
          <w:sz w:val="26"/>
          <w:szCs w:val="26"/>
          <w:lang w:eastAsia="lv-LV"/>
        </w:rPr>
        <w:t>11. pielikums</w:t>
      </w:r>
    </w:p>
    <w:p w14:paraId="20F54E82" w14:textId="249F97DA" w:rsidR="00D8650D" w:rsidRPr="00ED5DCE" w:rsidRDefault="00ED5DCE" w:rsidP="00ED5DCE">
      <w:pPr>
        <w:pStyle w:val="Virsraksts1"/>
        <w:pBdr>
          <w:bottom w:val="single" w:sz="18" w:space="1" w:color="008080"/>
        </w:pBdr>
        <w:rPr>
          <w:rFonts w:ascii="Arial" w:eastAsia="Times New Roman" w:hAnsi="Arial" w:cs="Arial"/>
          <w:b/>
          <w:sz w:val="26"/>
          <w:szCs w:val="26"/>
          <w:lang w:eastAsia="lv-LV"/>
        </w:rPr>
      </w:pPr>
      <w:r w:rsidRPr="00ED5DCE">
        <w:rPr>
          <w:rFonts w:ascii="Arial" w:eastAsia="Times New Roman" w:hAnsi="Arial" w:cs="Arial"/>
          <w:b/>
          <w:sz w:val="26"/>
          <w:szCs w:val="26"/>
          <w:lang w:eastAsia="lv-LV"/>
        </w:rPr>
        <w:t>L</w:t>
      </w:r>
      <w:r w:rsidR="00A41177" w:rsidRPr="00ED5DCE">
        <w:rPr>
          <w:rFonts w:ascii="Arial" w:eastAsia="Times New Roman" w:hAnsi="Arial" w:cs="Arial"/>
          <w:b/>
          <w:sz w:val="26"/>
          <w:szCs w:val="26"/>
          <w:lang w:eastAsia="lv-LV"/>
        </w:rPr>
        <w:t>ietuvas</w:t>
      </w:r>
      <w:r w:rsidR="00576AF4" w:rsidRPr="00ED5DCE">
        <w:rPr>
          <w:rFonts w:ascii="Arial" w:eastAsia="Times New Roman" w:hAnsi="Arial" w:cs="Arial"/>
          <w:b/>
          <w:sz w:val="26"/>
          <w:szCs w:val="26"/>
          <w:lang w:eastAsia="lv-LV"/>
        </w:rPr>
        <w:t xml:space="preserve"> investīciju kultūrvides attīstībā ietekme</w:t>
      </w:r>
      <w:r w:rsidR="009D7E22" w:rsidRPr="00ED5DCE">
        <w:rPr>
          <w:rFonts w:ascii="Arial" w:eastAsia="Times New Roman" w:hAnsi="Arial" w:cs="Arial"/>
          <w:b/>
          <w:sz w:val="26"/>
          <w:szCs w:val="26"/>
          <w:lang w:eastAsia="lv-LV"/>
        </w:rPr>
        <w:t xml:space="preserve"> </w:t>
      </w:r>
    </w:p>
    <w:p w14:paraId="7DD19DBA" w14:textId="77777777" w:rsidR="00576AF4" w:rsidRPr="00ED5DCE" w:rsidRDefault="00576AF4" w:rsidP="00576AF4">
      <w:pPr>
        <w:rPr>
          <w:rFonts w:ascii="Arial" w:hAnsi="Arial" w:cs="Arial"/>
          <w:sz w:val="20"/>
          <w:szCs w:val="20"/>
          <w:lang w:eastAsia="lv-LV"/>
        </w:rPr>
      </w:pPr>
    </w:p>
    <w:p w14:paraId="18DE16EB" w14:textId="77777777" w:rsidR="006B1B2B" w:rsidRPr="00ED5DCE" w:rsidRDefault="006B1B2B" w:rsidP="006B1B2B">
      <w:pPr>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t>Lietuvas kultūras politika 2007.-2013. gada plānošanas periodā</w:t>
      </w:r>
    </w:p>
    <w:p w14:paraId="1B21EEC5"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Balstoties uz ziņojumu “2007.-2013. gada ES strukturālā atbalsta kultūrai izvērtējums”, analizēta Lietuvas kultūras politika 2007.-2013. gada plānošanas periodā, īstenojot ES fondu līdzekļus. Plānošanas periodā no 2007. līdz 2013. gadam Lietuvā tika īstenoti 389 projekti, kas tieši vai netieši veicinājuši kultūras nozares attīstību</w:t>
      </w:r>
      <w:r w:rsidRPr="00ED5DCE">
        <w:rPr>
          <w:rStyle w:val="Vresatsauce"/>
          <w:rFonts w:ascii="Arial" w:hAnsi="Arial" w:cs="Arial"/>
          <w:sz w:val="20"/>
          <w:szCs w:val="20"/>
        </w:rPr>
        <w:footnoteReference w:id="1"/>
      </w:r>
      <w:r w:rsidRPr="00ED5DCE">
        <w:rPr>
          <w:rFonts w:ascii="Arial" w:hAnsi="Arial" w:cs="Arial"/>
          <w:sz w:val="20"/>
          <w:szCs w:val="20"/>
        </w:rPr>
        <w:t xml:space="preserve">.  Kopējais aplūkotais finansējuma apjoms: 382 miljoni eiro ES fondu līdzekļu.  </w:t>
      </w:r>
    </w:p>
    <w:p w14:paraId="7FD1B449" w14:textId="0C342A96"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Īstenotie projekti ir sadalīti 10 grupās</w:t>
      </w:r>
      <w:r w:rsidR="00AF07F8" w:rsidRPr="00ED5DCE">
        <w:rPr>
          <w:rFonts w:ascii="Arial" w:hAnsi="Arial" w:cs="Arial"/>
          <w:sz w:val="20"/>
          <w:szCs w:val="20"/>
        </w:rPr>
        <w:t>:</w:t>
      </w:r>
      <w:r w:rsidR="0030453B" w:rsidRPr="00ED5DCE">
        <w:rPr>
          <w:rFonts w:ascii="Arial" w:hAnsi="Arial" w:cs="Arial"/>
          <w:sz w:val="20"/>
          <w:szCs w:val="20"/>
        </w:rPr>
        <w:t xml:space="preserve"> kultūras un mākslas iestāžu infrastruktūra, esošā kultūras mantojuma uzturēšana un saglabāšana, izglītība un kultūrizglītības iestāžu infrastruktūra, e-kultūras pakalpojumi, kultūra un radošās industrijas, lietuviešu identitāte un lietuviešu valoda, </w:t>
      </w:r>
      <w:r w:rsidR="00067B65" w:rsidRPr="00ED5DCE">
        <w:rPr>
          <w:rFonts w:ascii="Arial" w:hAnsi="Arial" w:cs="Arial"/>
          <w:sz w:val="20"/>
          <w:szCs w:val="20"/>
        </w:rPr>
        <w:t>radošums izglītībā, kultūras politika, pārvalde un pētījumi, nozares darbinieku kvalifikācija un darba apstākļi. S</w:t>
      </w:r>
      <w:r w:rsidRPr="00ED5DCE">
        <w:rPr>
          <w:rFonts w:ascii="Arial" w:hAnsi="Arial" w:cs="Arial"/>
          <w:sz w:val="20"/>
          <w:szCs w:val="20"/>
        </w:rPr>
        <w:t>askaņā ar izvērtējuma ziņojumu</w:t>
      </w:r>
      <w:r w:rsidR="00067B65" w:rsidRPr="00ED5DCE">
        <w:rPr>
          <w:rFonts w:ascii="Arial" w:hAnsi="Arial" w:cs="Arial"/>
          <w:sz w:val="20"/>
          <w:szCs w:val="20"/>
        </w:rPr>
        <w:t xml:space="preserve">, </w:t>
      </w:r>
      <w:r w:rsidRPr="00ED5DCE">
        <w:rPr>
          <w:rFonts w:ascii="Arial" w:hAnsi="Arial" w:cs="Arial"/>
          <w:sz w:val="20"/>
          <w:szCs w:val="20"/>
        </w:rPr>
        <w:t xml:space="preserve">katras grupas projektu analīze sniegta zemāk. </w:t>
      </w:r>
    </w:p>
    <w:p w14:paraId="2AFE419E" w14:textId="77777777"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Kultūras un mākslas iestāžu infrastruktūra</w:t>
      </w:r>
    </w:p>
    <w:p w14:paraId="77280FDB" w14:textId="10F293E0"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Šī tipa projektiem bija noteiktas 3 tēmas - tūrisma infrastruktūra; publisko ēku energoefektivitātes veicināšana; viedas pārvaldības veicināšana mērķa apgabalos un lauku apvidos, koncentrējoties uz lauku apvidu attīstību, lai modernizētu kultūras un mākslas institūcijas, uzlabotu izglītības un sociālo pakalpojumu kvalitāti un piedāvājumu reģionos. Piemēram, izmantojot ES Struktūrfondu līdzekļus, Lietuvas Jūras muzejs izveidoja Delfīnu terapijas centru, kura kopējās izmaksas bija 9,3 milj.</w:t>
      </w:r>
      <w:bookmarkStart w:id="0" w:name="_GoBack"/>
      <w:r w:rsidR="004F5123">
        <w:rPr>
          <w:rFonts w:ascii="Arial" w:hAnsi="Arial" w:cs="Arial"/>
          <w:sz w:val="20"/>
          <w:szCs w:val="20"/>
        </w:rPr>
        <w:t xml:space="preserve"> </w:t>
      </w:r>
      <w:bookmarkEnd w:id="0"/>
      <w:r w:rsidRPr="00ED5DCE">
        <w:rPr>
          <w:rFonts w:ascii="Arial" w:hAnsi="Arial" w:cs="Arial"/>
          <w:sz w:val="20"/>
          <w:szCs w:val="20"/>
        </w:rPr>
        <w:t xml:space="preserve">eiro. </w:t>
      </w:r>
    </w:p>
    <w:p w14:paraId="56F52D02"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 xml:space="preserve">Projektu rezultāti: </w:t>
      </w:r>
    </w:p>
    <w:p w14:paraId="16CC87A9" w14:textId="77777777" w:rsidR="006B1B2B" w:rsidRPr="00ED5DCE" w:rsidRDefault="006B1B2B" w:rsidP="006B1B2B">
      <w:pPr>
        <w:pStyle w:val="Sarakstarindkopa"/>
        <w:numPr>
          <w:ilvl w:val="0"/>
          <w:numId w:val="18"/>
        </w:numPr>
        <w:spacing w:after="120"/>
        <w:rPr>
          <w:rFonts w:cs="Arial"/>
          <w:szCs w:val="20"/>
        </w:rPr>
      </w:pPr>
      <w:r w:rsidRPr="00ED5DCE">
        <w:rPr>
          <w:rFonts w:cs="Arial"/>
          <w:szCs w:val="20"/>
        </w:rPr>
        <w:t>40 projektos modernizēta kultūras un mākslas iestāžu infrastruktūra, vienlaikus pārvaldot nekustamo kultūras mantojumu;</w:t>
      </w:r>
    </w:p>
    <w:p w14:paraId="3F7D2161" w14:textId="77777777" w:rsidR="006B1B2B" w:rsidRPr="00ED5DCE" w:rsidRDefault="006B1B2B" w:rsidP="006B1B2B">
      <w:pPr>
        <w:pStyle w:val="Sarakstarindkopa"/>
        <w:numPr>
          <w:ilvl w:val="0"/>
          <w:numId w:val="18"/>
        </w:numPr>
        <w:rPr>
          <w:rFonts w:cs="Arial"/>
          <w:szCs w:val="20"/>
        </w:rPr>
      </w:pPr>
      <w:r w:rsidRPr="00ED5DCE">
        <w:rPr>
          <w:rFonts w:cs="Arial"/>
          <w:szCs w:val="20"/>
        </w:rPr>
        <w:t>Uzceltas vai atjaunotas 60 muzeju ēkas;</w:t>
      </w:r>
    </w:p>
    <w:p w14:paraId="3E766EEA" w14:textId="77777777" w:rsidR="006B1B2B" w:rsidRPr="00ED5DCE" w:rsidRDefault="006B1B2B" w:rsidP="006B1B2B">
      <w:pPr>
        <w:pStyle w:val="Sarakstarindkopa"/>
        <w:numPr>
          <w:ilvl w:val="0"/>
          <w:numId w:val="18"/>
        </w:numPr>
        <w:spacing w:after="240"/>
        <w:rPr>
          <w:rFonts w:cs="Arial"/>
          <w:szCs w:val="20"/>
        </w:rPr>
      </w:pPr>
      <w:r w:rsidRPr="00ED5DCE">
        <w:rPr>
          <w:rFonts w:cs="Arial"/>
          <w:szCs w:val="20"/>
        </w:rPr>
        <w:t>Modernizēti 0,4% Lietuvas valsts bibliotēku;</w:t>
      </w:r>
    </w:p>
    <w:p w14:paraId="6089D754" w14:textId="77777777" w:rsidR="006B1B2B" w:rsidRPr="00ED5DCE" w:rsidRDefault="006B1B2B" w:rsidP="006B1B2B">
      <w:pPr>
        <w:pStyle w:val="Sarakstarindkopa"/>
        <w:numPr>
          <w:ilvl w:val="0"/>
          <w:numId w:val="18"/>
        </w:numPr>
        <w:spacing w:after="240"/>
        <w:rPr>
          <w:rFonts w:cs="Arial"/>
          <w:szCs w:val="20"/>
        </w:rPr>
      </w:pPr>
      <w:r w:rsidRPr="00ED5DCE">
        <w:rPr>
          <w:rFonts w:cs="Arial"/>
          <w:szCs w:val="20"/>
        </w:rPr>
        <w:t>Daudzfunkcionālo centru izbūve;</w:t>
      </w:r>
    </w:p>
    <w:p w14:paraId="2316A6EE" w14:textId="77777777" w:rsidR="006B1B2B" w:rsidRPr="00ED5DCE" w:rsidRDefault="006B1B2B" w:rsidP="006B1B2B">
      <w:pPr>
        <w:pStyle w:val="Sarakstarindkopa"/>
        <w:numPr>
          <w:ilvl w:val="0"/>
          <w:numId w:val="18"/>
        </w:numPr>
        <w:spacing w:after="240"/>
        <w:rPr>
          <w:rFonts w:cs="Arial"/>
          <w:szCs w:val="20"/>
        </w:rPr>
      </w:pPr>
      <w:r w:rsidRPr="00ED5DCE">
        <w:rPr>
          <w:rFonts w:cs="Arial"/>
          <w:szCs w:val="20"/>
        </w:rPr>
        <w:t>Kultūras un mākslas iestāžu modernizācija.</w:t>
      </w:r>
    </w:p>
    <w:p w14:paraId="370EC424"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4C875E16" w14:textId="77777777" w:rsidR="006B1B2B" w:rsidRPr="00ED5DCE" w:rsidRDefault="006B1B2B" w:rsidP="006B1B2B">
      <w:pPr>
        <w:pStyle w:val="Sarakstarindkopa"/>
        <w:numPr>
          <w:ilvl w:val="0"/>
          <w:numId w:val="19"/>
        </w:numPr>
        <w:spacing w:after="120"/>
        <w:rPr>
          <w:rFonts w:cs="Arial"/>
          <w:szCs w:val="20"/>
        </w:rPr>
      </w:pPr>
      <w:r w:rsidRPr="00ED5DCE">
        <w:rPr>
          <w:rFonts w:cs="Arial"/>
          <w:szCs w:val="20"/>
        </w:rPr>
        <w:t>Izglītības, kultūras un sociālo pakalpojumu kvalitātes, piedāvājumu, pieejamības uzlabošana</w:t>
      </w:r>
    </w:p>
    <w:p w14:paraId="00315700"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Lauku apvidu attīstība;</w:t>
      </w:r>
    </w:p>
    <w:p w14:paraId="7FE348C7"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Reģionu atšķirību samazinājums;</w:t>
      </w:r>
    </w:p>
    <w:p w14:paraId="4D6BF9D2"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Palielinājies kultūras un mākslas iestāžu apmeklētāju skaits;</w:t>
      </w:r>
    </w:p>
    <w:p w14:paraId="425BDB5C"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Jaunu kultūras pakalpojumu izstrāde;</w:t>
      </w:r>
    </w:p>
    <w:p w14:paraId="58FB2BBE"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Uzlabojusies iestāžu, to ēku pieejamība un infrastruktūra;</w:t>
      </w:r>
    </w:p>
    <w:p w14:paraId="36C9F144" w14:textId="717FCD44" w:rsidR="006B1B2B" w:rsidRPr="00ED5DCE" w:rsidRDefault="006B1B2B" w:rsidP="006B1B2B">
      <w:pPr>
        <w:pStyle w:val="Sarakstarindkopa"/>
        <w:numPr>
          <w:ilvl w:val="0"/>
          <w:numId w:val="19"/>
        </w:numPr>
        <w:spacing w:after="240"/>
        <w:rPr>
          <w:rFonts w:cs="Arial"/>
          <w:szCs w:val="20"/>
        </w:rPr>
      </w:pPr>
      <w:r w:rsidRPr="00ED5DCE">
        <w:rPr>
          <w:rFonts w:cs="Arial"/>
          <w:szCs w:val="20"/>
        </w:rPr>
        <w:t>Vienlīdzīga pie</w:t>
      </w:r>
      <w:r w:rsidR="00ED5DCE">
        <w:rPr>
          <w:rFonts w:cs="Arial"/>
          <w:szCs w:val="20"/>
        </w:rPr>
        <w:t>kļuve informācijas tehnoloģijām</w:t>
      </w:r>
      <w:r w:rsidRPr="00ED5DCE">
        <w:rPr>
          <w:rFonts w:cs="Arial"/>
          <w:szCs w:val="20"/>
        </w:rPr>
        <w:t>;</w:t>
      </w:r>
    </w:p>
    <w:p w14:paraId="1A27FE49" w14:textId="56577D9A" w:rsidR="00067B65" w:rsidRPr="00ED5DCE" w:rsidRDefault="006B1B2B" w:rsidP="006B1B2B">
      <w:pPr>
        <w:pStyle w:val="Sarakstarindkopa"/>
        <w:numPr>
          <w:ilvl w:val="0"/>
          <w:numId w:val="19"/>
        </w:numPr>
        <w:spacing w:after="240"/>
        <w:rPr>
          <w:rFonts w:cs="Arial"/>
          <w:szCs w:val="20"/>
        </w:rPr>
      </w:pPr>
      <w:r w:rsidRPr="00ED5DCE">
        <w:rPr>
          <w:rFonts w:cs="Arial"/>
          <w:szCs w:val="20"/>
        </w:rPr>
        <w:t>Uzlabota pakalpojumu kvalitāte arī pilsētu teātros, muzejos un izglītības iestādēs.</w:t>
      </w:r>
    </w:p>
    <w:p w14:paraId="47D81B5F" w14:textId="77777777"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Esošā kultūras mantojuma uzturēšana un saglabāšana</w:t>
      </w:r>
    </w:p>
    <w:p w14:paraId="489ED40B" w14:textId="00C8D045"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ES Struktūrfondu finansiālais atbalsts tika izmantots, lai pielāgotu vidi kultūras mantojuma uzturēšanas vajadzībām. Lielākā daļa projektu bija tūrisma infrastruktūras projekti, kas tika pielāgoti esošo kultūras mantojumu mūsdienu vajadzībām. Ziņojumā aplūkoti 14 atbalsta pasākumi. No tiem, tikai viens sniedza tiešu ieguldījumu tūrisma infrastruktūras attīstībai (specifiskais atbalsta mērķis Nr. VP3-1 3-UM-02-V "Publisko nekustamo īpašumu kultūras objektu kompleksa pielāgošana tūrisma vajadzībām"). Plašāk sniegtais atbalsts apskatīts </w:t>
      </w:r>
      <w:r w:rsidR="00F251DE" w:rsidRPr="00ED5DCE">
        <w:rPr>
          <w:rFonts w:ascii="Arial" w:hAnsi="Arial" w:cs="Arial"/>
          <w:sz w:val="20"/>
          <w:szCs w:val="20"/>
        </w:rPr>
        <w:t>1</w:t>
      </w:r>
      <w:r w:rsidR="00F251DE">
        <w:rPr>
          <w:rFonts w:ascii="Arial" w:hAnsi="Arial" w:cs="Arial"/>
          <w:sz w:val="20"/>
          <w:szCs w:val="20"/>
        </w:rPr>
        <w:t>2</w:t>
      </w:r>
      <w:r w:rsidRPr="00ED5DCE">
        <w:rPr>
          <w:rFonts w:ascii="Arial" w:hAnsi="Arial" w:cs="Arial"/>
          <w:sz w:val="20"/>
          <w:szCs w:val="20"/>
        </w:rPr>
        <w:t xml:space="preserve">.4 sadaļā. Pārējie aplūkotie pasākumi bija vērsti uz infrastruktūras attīstību, sniedzot netiešu ieguldījumu arī kultūras mantojuma uzturēšanā un saglabāšanai (piemēram, mākslas, izglītības iestāžu modernizācija un citu institūciju, kas darbojas kultūras mantojuma objektos atjaunināšana). Nekustamā īpašuma kultūras mantojuma objektu </w:t>
      </w:r>
      <w:r w:rsidRPr="00ED5DCE">
        <w:rPr>
          <w:rFonts w:ascii="Arial" w:hAnsi="Arial" w:cs="Arial"/>
          <w:sz w:val="20"/>
          <w:szCs w:val="20"/>
        </w:rPr>
        <w:lastRenderedPageBreak/>
        <w:t>apsaimniekošanas projekti veido 35% no kopējā skaita. Lielākā daļa projektu (78%) tika īstenoti atbilstoši trim Ekonomikas ministrijas pārvaldītajiem tūrisma infrastruktūras attīstības pasākumiem. Ziņojumā aplūkoti arī netiešie pasākumi, piemēram, Vides ministrijas pārvaldīto finanšu instrumentu Nr. VP3-1.4-AM-02-V “Bioloģiskā daudzveidība un ainavu aizsardzība”. Atbalstīto projektu ietvaros tika īstenoti 3 aizsargājamo teritoriju apsaimniekošanas projekti par kopējo finansējumu 54,1 milj. eiro, kuru laikā tika veikta 7 kultūras mantojuma objektu renovācija, lai pārvaldītu aizsargājamās dabas zonas un izveidotu apmeklētāju centrus. Lielākā daļa finansējuma tika paredzēta dabas mantojuma pārvaldībai un aizsardzībai, nevis tipisku apskates objektu uzturēšanai</w:t>
      </w:r>
      <w:r w:rsidRPr="00ED5DCE">
        <w:rPr>
          <w:rStyle w:val="Vresatsauce"/>
          <w:rFonts w:ascii="Arial" w:hAnsi="Arial" w:cs="Arial"/>
          <w:sz w:val="20"/>
          <w:szCs w:val="20"/>
        </w:rPr>
        <w:footnoteReference w:id="2"/>
      </w:r>
      <w:r w:rsidRPr="00ED5DCE">
        <w:rPr>
          <w:rFonts w:ascii="Arial" w:hAnsi="Arial" w:cs="Arial"/>
          <w:sz w:val="20"/>
          <w:szCs w:val="20"/>
        </w:rPr>
        <w:t>. 2007.-2014. gada periodā ES struktūrfondu fondi veidoja aptuveni 45% no kopējām investīcijām kultūras mantojuma objektu saglabāšanā un atjaunošanā.</w:t>
      </w:r>
    </w:p>
    <w:p w14:paraId="10397D3F"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088685CC"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Atjaunotas un pielāgotas tūrisma vajadzībām 52 muižas;</w:t>
      </w:r>
    </w:p>
    <w:p w14:paraId="2BC7A785"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13 projektu ietvaros optimizēti un labiekārtoti muižas parki un / vai dīķi;</w:t>
      </w:r>
    </w:p>
    <w:p w14:paraId="25726CF0"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Īstenoti 20 projektu, kuru ietvaros tika labiekārtoti sakrālās kultūras mantojuma objekti;</w:t>
      </w:r>
    </w:p>
    <w:p w14:paraId="31CA01F0"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Īstenoti 12 projektu, kas ietvēra privāto īpašnieku īpašumā esošo mantojuma objektu pārvaldību;</w:t>
      </w:r>
    </w:p>
    <w:p w14:paraId="2DB92A5B"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Uzlabota 6 ūdenstilpņu kvalitāte, apkārtesošā infrastruktūra,</w:t>
      </w:r>
    </w:p>
    <w:p w14:paraId="339ABA8E"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Izveidotas 202 tiešās darbavietas;</w:t>
      </w:r>
    </w:p>
    <w:p w14:paraId="51F396BA" w14:textId="46470432"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 xml:space="preserve">Piesaistīti 10,7 milj. </w:t>
      </w:r>
      <w:r w:rsidR="00F251DE">
        <w:rPr>
          <w:rFonts w:cs="Arial"/>
          <w:szCs w:val="20"/>
        </w:rPr>
        <w:t>eiro</w:t>
      </w:r>
      <w:r w:rsidR="00F251DE" w:rsidRPr="00ED5DCE">
        <w:rPr>
          <w:rFonts w:cs="Arial"/>
          <w:szCs w:val="20"/>
        </w:rPr>
        <w:t xml:space="preserve"> </w:t>
      </w:r>
      <w:r w:rsidRPr="00ED5DCE">
        <w:rPr>
          <w:rFonts w:cs="Arial"/>
          <w:szCs w:val="20"/>
        </w:rPr>
        <w:t xml:space="preserve">privātā finansējuma, kas veido 5,5% no kopējā ES struktūrfondu atbalsta apjoma (9,91 miljons eiro “VP3-1.3-ŪM-06-K Tūrisma pakalpojumu / produktu attīstība, tūrisma pakalpojumu daudzveidība un kvalitātes uzlabošana” atbalstīto projektu ietvaros un 0,76 miljons eiro – “VP3-1.3-ŪM-05-R Sabiedriskās tūrisma infrastruktūras un pakalpojumu attīstība reģionos” īstenoto projektu ietvaros). No 25 projektiem, kas apņēmās nodrošināt privātā finansējuma piesaisti, tikai daļai tas izdevās pilnībā. 51% no visiem piesaistītajiem privātajiem līdzekļiem, tika ieguldīti 4 projektos. Neskatoties uz plānotā neizpildi, ieguldītais privātais līdzfinansējums ir nozīmīgs. </w:t>
      </w:r>
    </w:p>
    <w:p w14:paraId="08EA3FCE"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1D9E7A56" w14:textId="77777777" w:rsidR="006B1B2B" w:rsidRPr="00ED5DCE" w:rsidRDefault="006B1B2B" w:rsidP="006B1B2B">
      <w:pPr>
        <w:pStyle w:val="Sarakstarindkopa"/>
        <w:numPr>
          <w:ilvl w:val="0"/>
          <w:numId w:val="23"/>
        </w:numPr>
        <w:contextualSpacing w:val="0"/>
        <w:rPr>
          <w:rFonts w:cs="Arial"/>
          <w:szCs w:val="20"/>
        </w:rPr>
      </w:pPr>
      <w:r w:rsidRPr="00ED5DCE">
        <w:rPr>
          <w:rFonts w:cs="Arial"/>
          <w:szCs w:val="20"/>
        </w:rPr>
        <w:t>Kultūras mantojuma pielāgošana un pārvalde, veiksmīga apstrāde un saglabāšana;</w:t>
      </w:r>
    </w:p>
    <w:p w14:paraId="63C7E711" w14:textId="77777777" w:rsidR="006B1B2B" w:rsidRPr="00ED5DCE" w:rsidRDefault="006B1B2B" w:rsidP="006B1B2B">
      <w:pPr>
        <w:pStyle w:val="Sarakstarindkopa"/>
        <w:numPr>
          <w:ilvl w:val="0"/>
          <w:numId w:val="23"/>
        </w:numPr>
        <w:rPr>
          <w:rFonts w:cs="Arial"/>
          <w:szCs w:val="20"/>
        </w:rPr>
      </w:pPr>
      <w:r w:rsidRPr="00ED5DCE">
        <w:rPr>
          <w:rFonts w:cs="Arial"/>
          <w:szCs w:val="20"/>
        </w:rPr>
        <w:t>Objektu adaptācija tūrismam, muzeju aktivitātēm;</w:t>
      </w:r>
    </w:p>
    <w:p w14:paraId="06F86F5D" w14:textId="77777777" w:rsidR="006B1B2B" w:rsidRPr="00ED5DCE" w:rsidRDefault="006B1B2B" w:rsidP="006B1B2B">
      <w:pPr>
        <w:pStyle w:val="Sarakstarindkopa"/>
        <w:numPr>
          <w:ilvl w:val="0"/>
          <w:numId w:val="23"/>
        </w:numPr>
        <w:rPr>
          <w:rFonts w:cs="Arial"/>
          <w:szCs w:val="20"/>
        </w:rPr>
      </w:pPr>
      <w:r w:rsidRPr="00ED5DCE">
        <w:rPr>
          <w:rFonts w:cs="Arial"/>
          <w:szCs w:val="20"/>
        </w:rPr>
        <w:t>Izveidotas jaunas darbavietas;</w:t>
      </w:r>
    </w:p>
    <w:p w14:paraId="03D503C1" w14:textId="77777777" w:rsidR="006B1B2B" w:rsidRPr="00ED5DCE" w:rsidRDefault="006B1B2B" w:rsidP="006B1B2B">
      <w:pPr>
        <w:pStyle w:val="Sarakstarindkopa"/>
        <w:numPr>
          <w:ilvl w:val="0"/>
          <w:numId w:val="23"/>
        </w:numPr>
        <w:rPr>
          <w:rFonts w:cs="Arial"/>
          <w:szCs w:val="20"/>
        </w:rPr>
      </w:pPr>
      <w:r w:rsidRPr="00ED5DCE">
        <w:rPr>
          <w:rFonts w:cs="Arial"/>
          <w:szCs w:val="20"/>
        </w:rPr>
        <w:t>Tūristu piesaiste;</w:t>
      </w:r>
    </w:p>
    <w:p w14:paraId="1DFDA2BC" w14:textId="77777777" w:rsidR="006B1B2B" w:rsidRPr="00ED5DCE" w:rsidRDefault="006B1B2B" w:rsidP="006B1B2B">
      <w:pPr>
        <w:pStyle w:val="Sarakstarindkopa"/>
        <w:numPr>
          <w:ilvl w:val="0"/>
          <w:numId w:val="23"/>
        </w:numPr>
        <w:rPr>
          <w:rFonts w:cs="Arial"/>
          <w:szCs w:val="20"/>
        </w:rPr>
      </w:pPr>
      <w:r w:rsidRPr="00ED5DCE">
        <w:rPr>
          <w:rFonts w:cs="Arial"/>
          <w:szCs w:val="20"/>
        </w:rPr>
        <w:t>Jaunu vai esošu tūrisma apskates objektu uzlabošana, izveide;</w:t>
      </w:r>
    </w:p>
    <w:p w14:paraId="2658D2CD" w14:textId="77777777" w:rsidR="006B1B2B" w:rsidRPr="00ED5DCE" w:rsidRDefault="006B1B2B" w:rsidP="006B1B2B">
      <w:pPr>
        <w:pStyle w:val="Sarakstarindkopa"/>
        <w:numPr>
          <w:ilvl w:val="0"/>
          <w:numId w:val="23"/>
        </w:numPr>
        <w:rPr>
          <w:rFonts w:cs="Arial"/>
          <w:szCs w:val="20"/>
        </w:rPr>
      </w:pPr>
      <w:r w:rsidRPr="00ED5DCE">
        <w:rPr>
          <w:rFonts w:cs="Arial"/>
          <w:szCs w:val="20"/>
        </w:rPr>
        <w:t>Jauna statusa piešķiršana kultūras mantojuma objektiem;</w:t>
      </w:r>
    </w:p>
    <w:p w14:paraId="389BC768" w14:textId="77777777" w:rsidR="006B1B2B" w:rsidRPr="00ED5DCE" w:rsidRDefault="006B1B2B" w:rsidP="006B1B2B">
      <w:pPr>
        <w:pStyle w:val="Sarakstarindkopa"/>
        <w:numPr>
          <w:ilvl w:val="0"/>
          <w:numId w:val="23"/>
        </w:numPr>
        <w:rPr>
          <w:rFonts w:cs="Arial"/>
          <w:szCs w:val="20"/>
        </w:rPr>
      </w:pPr>
      <w:r w:rsidRPr="00ED5DCE">
        <w:rPr>
          <w:rFonts w:cs="Arial"/>
          <w:szCs w:val="20"/>
        </w:rPr>
        <w:t>Maksimāli tiek izmantots objekta potenciāls;</w:t>
      </w:r>
    </w:p>
    <w:p w14:paraId="4B3DBED1" w14:textId="77777777" w:rsidR="006B1B2B" w:rsidRPr="00ED5DCE" w:rsidRDefault="006B1B2B" w:rsidP="006B1B2B">
      <w:pPr>
        <w:pStyle w:val="Sarakstarindkopa"/>
        <w:numPr>
          <w:ilvl w:val="0"/>
          <w:numId w:val="23"/>
        </w:numPr>
        <w:rPr>
          <w:rFonts w:cs="Arial"/>
          <w:szCs w:val="20"/>
        </w:rPr>
      </w:pPr>
      <w:r w:rsidRPr="00ED5DCE">
        <w:rPr>
          <w:rFonts w:cs="Arial"/>
          <w:szCs w:val="20"/>
        </w:rPr>
        <w:t>Uzlabots sniegto pakalpojumu klāsts;</w:t>
      </w:r>
    </w:p>
    <w:p w14:paraId="1ACE3032" w14:textId="77777777" w:rsidR="006B1B2B" w:rsidRPr="00ED5DCE" w:rsidRDefault="006B1B2B" w:rsidP="006B1B2B">
      <w:pPr>
        <w:pStyle w:val="Sarakstarindkopa"/>
        <w:numPr>
          <w:ilvl w:val="0"/>
          <w:numId w:val="23"/>
        </w:numPr>
        <w:spacing w:after="240"/>
        <w:contextualSpacing w:val="0"/>
        <w:rPr>
          <w:rFonts w:cs="Arial"/>
          <w:szCs w:val="20"/>
        </w:rPr>
      </w:pPr>
      <w:r w:rsidRPr="00ED5DCE">
        <w:rPr>
          <w:rFonts w:cs="Arial"/>
          <w:szCs w:val="20"/>
        </w:rPr>
        <w:t>Daži no sasniedzamajiem mērķiem ir pareiza apstrāde un uzglabāšana, kultūras mantojuma saglabāšanas pasākumi, kultūras mantojuma uzskaite, aizsardzība, ilgtspējīga attīstība, sabiedrības informētība un dialogs, speciālistu apmācība.</w:t>
      </w:r>
    </w:p>
    <w:p w14:paraId="731BA097" w14:textId="77777777" w:rsidR="006B1B2B" w:rsidRPr="00ED5DCE" w:rsidRDefault="006B1B2B" w:rsidP="006B1B2B">
      <w:pPr>
        <w:spacing w:after="240"/>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t>Izglītība un kultūrizglītības iestāžu infrastruktūra</w:t>
      </w:r>
    </w:p>
    <w:p w14:paraId="05ECA410"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Tika izvirzīti 4 mērķi – kultūrizglītības iestāžu infrastruktūras atjaunošana un attīstība; energoefektivitāte; bibliotēku un līdzīgu institūciju pielāgošana </w:t>
      </w:r>
      <w:proofErr w:type="spellStart"/>
      <w:r w:rsidRPr="00ED5DCE">
        <w:rPr>
          <w:rFonts w:ascii="Arial" w:hAnsi="Arial" w:cs="Arial"/>
          <w:sz w:val="20"/>
          <w:szCs w:val="20"/>
        </w:rPr>
        <w:t>digitalizācijai</w:t>
      </w:r>
      <w:proofErr w:type="spellEnd"/>
      <w:r w:rsidRPr="00ED5DCE">
        <w:rPr>
          <w:rFonts w:ascii="Arial" w:hAnsi="Arial" w:cs="Arial"/>
          <w:sz w:val="20"/>
          <w:szCs w:val="20"/>
        </w:rPr>
        <w:t xml:space="preserve">; ar kultūru saistītu augstskolu mācību programmu izveide.  Piemēram, Viļņas Mākslas akadēmija īstenoja projektu VP3-2.2-MES-02-V-01-001, lai izveidotu Viļņas Mākslas akadēmijas Inovāciju un dizaina centru, kas tiktu izmantots jaunajiem speciālistiem mācību nolūkos, tai skaitā, renovācijas speciālistiem. </w:t>
      </w:r>
    </w:p>
    <w:p w14:paraId="625EC02B"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67FF20F6"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Augstskolas īstenoja 64% projektu;</w:t>
      </w:r>
    </w:p>
    <w:p w14:paraId="41A07A6C"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Izveidotas un atjaunotas 480 skolu mācību bāzes;</w:t>
      </w:r>
    </w:p>
    <w:p w14:paraId="44856125"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Skolu bibliotēkas projektu īstenošanai izlietoja 7% no kopējās finansējuma summas;</w:t>
      </w:r>
    </w:p>
    <w:p w14:paraId="4BEC8F19"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Modernizētas 241 bibliotēkas (jeb 23% no visām skolu bibliotēkām).</w:t>
      </w:r>
    </w:p>
    <w:p w14:paraId="4D3A96EF"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5BBD3B65"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Jaunu centru izveide, kur strādāt jaunajiem māksliniekiem;</w:t>
      </w:r>
    </w:p>
    <w:p w14:paraId="059C731A"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 xml:space="preserve">Dokumentu </w:t>
      </w:r>
      <w:proofErr w:type="spellStart"/>
      <w:r w:rsidRPr="00ED5DCE">
        <w:rPr>
          <w:rFonts w:cs="Arial"/>
          <w:szCs w:val="20"/>
        </w:rPr>
        <w:t>digitalizācija</w:t>
      </w:r>
      <w:proofErr w:type="spellEnd"/>
      <w:r w:rsidRPr="00ED5DCE">
        <w:rPr>
          <w:rFonts w:cs="Arial"/>
          <w:szCs w:val="20"/>
        </w:rPr>
        <w:t>;</w:t>
      </w:r>
    </w:p>
    <w:p w14:paraId="5DF86504"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Ietekmēta jauniešu izglītības kvalitāte, ieguves process;</w:t>
      </w:r>
    </w:p>
    <w:p w14:paraId="1D48299D"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Ietekme uz kultūras nozari kopumā vērtējama ilgtermiņā.</w:t>
      </w:r>
    </w:p>
    <w:p w14:paraId="747139BC" w14:textId="56CACAC1" w:rsidR="006B1B2B" w:rsidRPr="00ED5DCE" w:rsidRDefault="006B1B2B" w:rsidP="006B1B2B">
      <w:pPr>
        <w:spacing w:after="240"/>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lastRenderedPageBreak/>
        <w:t>Kultūra un radošās industrijas</w:t>
      </w:r>
    </w:p>
    <w:p w14:paraId="36C0C900"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Lai atbalstītu mākslas un radošo industriju infrastruktūru, tika īstenoti projekti 3 svarīgākajās apakšnozarēs – mākslas inkubatoru infrastruktūra; radošo apvienību (klasteru) infrastruktūras attīstība; radošo nozaru infrastruktūras un uzņēmējdarbības attīstības projekti augstākās izglītības iestādēs un nevalstiskajās organizācijās. Projektu sasniedzamie mērķi galvenokārt saistīti ar MVU izveidi un attīstību, kultūras personāla kompetenci, kvalifikāciju, informācijas apkopošanu un izplatīšanu. Piemēram, vienu no projektiem, lai veicinātu </w:t>
      </w:r>
      <w:proofErr w:type="spellStart"/>
      <w:r w:rsidRPr="00ED5DCE">
        <w:rPr>
          <w:rFonts w:ascii="Arial" w:hAnsi="Arial" w:cs="Arial"/>
          <w:sz w:val="20"/>
          <w:szCs w:val="20"/>
        </w:rPr>
        <w:t>digitalizāciju</w:t>
      </w:r>
      <w:proofErr w:type="spellEnd"/>
      <w:r w:rsidRPr="00ED5DCE">
        <w:rPr>
          <w:rFonts w:ascii="Arial" w:hAnsi="Arial" w:cs="Arial"/>
          <w:sz w:val="20"/>
          <w:szCs w:val="20"/>
        </w:rPr>
        <w:t xml:space="preserve"> un dokumentu arhīva pieejamību, īstenoja Lietuvas Zinātņu akadēmija un </w:t>
      </w:r>
      <w:proofErr w:type="spellStart"/>
      <w:r w:rsidRPr="00ED5DCE">
        <w:rPr>
          <w:rFonts w:ascii="Arial" w:hAnsi="Arial" w:cs="Arial"/>
          <w:sz w:val="20"/>
          <w:szCs w:val="20"/>
        </w:rPr>
        <w:t>Vrobļevska</w:t>
      </w:r>
      <w:proofErr w:type="spellEnd"/>
      <w:r w:rsidRPr="00ED5DCE">
        <w:rPr>
          <w:rFonts w:ascii="Arial" w:hAnsi="Arial" w:cs="Arial"/>
          <w:sz w:val="20"/>
          <w:szCs w:val="20"/>
        </w:rPr>
        <w:t xml:space="preserve"> bibliotēka (VP2-1.1-MES-06-V-01-002 “DOSINFA: kultūras mantojuma krājuma infrastruktūras atjaunošana”). Projekta laikā tika uzlabota pētniecības infrastruktūra, kā arī papildināta krātuve un restaurēšanas aprīkojums. </w:t>
      </w:r>
    </w:p>
    <w:p w14:paraId="1CEBC77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1C4FD821"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 xml:space="preserve">Ar kultūru saistītu mākslas klasteru atbalsts un 11 inkubatoru izveide, piemēram, </w:t>
      </w:r>
      <w:proofErr w:type="spellStart"/>
      <w:r w:rsidRPr="00ED5DCE">
        <w:rPr>
          <w:rFonts w:cs="Arial"/>
          <w:szCs w:val="20"/>
        </w:rPr>
        <w:t>Užupes</w:t>
      </w:r>
      <w:proofErr w:type="spellEnd"/>
      <w:r w:rsidRPr="00ED5DCE">
        <w:rPr>
          <w:rFonts w:cs="Arial"/>
          <w:szCs w:val="20"/>
        </w:rPr>
        <w:t xml:space="preserve"> mākslu inkubators Viļņā;</w:t>
      </w:r>
    </w:p>
    <w:p w14:paraId="3E2330CC"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Radīta platforma jauniem uzņēmumiem (līdz 2016.gada maijam izveidotajos inkubatoros jau darbojās 101 uzņēmums);</w:t>
      </w:r>
    </w:p>
    <w:p w14:paraId="6713CE89"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Izveidotas trīs zinātniskās laboratorijas, kā arī izveidotas un/vai aprīkotas 24 mācību laboratorijas (auditorijas);</w:t>
      </w:r>
    </w:p>
    <w:p w14:paraId="7DE74218"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630 studenti, 119 skolotāji, 342 zinātnieki un 27 pētnieki tika apmācīti ar radošo industriju saistīto projektu īstenošanā.</w:t>
      </w:r>
    </w:p>
    <w:p w14:paraId="2BDF9B3D"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3C534B34"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Palielinājies mākslas inkubatora sniegto pakalpojumu apjoms, uzlabota to kvalitāte;</w:t>
      </w:r>
    </w:p>
    <w:p w14:paraId="6278CDC6"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Modernizēta materiālā bāze;</w:t>
      </w:r>
    </w:p>
    <w:p w14:paraId="4F7B147F"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2014.-2020. gadu plānošanas periodā īpaša uzmanība pievērsta prasmju attīstībai, lai nodrošinātu izveidotās infrastruktūras izmantošanu, kas īpaši būtiska infrastruktūras uzturēšanai ārpus galvenajiem attīstības centriem;</w:t>
      </w:r>
    </w:p>
    <w:p w14:paraId="23B38626"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Attīstījās kultūras un radošo industriju politika;</w:t>
      </w:r>
    </w:p>
    <w:p w14:paraId="0D472C1C" w14:textId="41EEEBD1" w:rsidR="006B1B2B" w:rsidRPr="00ED5DCE" w:rsidRDefault="006B1B2B" w:rsidP="000C47AA">
      <w:pPr>
        <w:pStyle w:val="Sarakstarindkopa"/>
        <w:numPr>
          <w:ilvl w:val="0"/>
          <w:numId w:val="25"/>
        </w:numPr>
        <w:spacing w:after="240"/>
        <w:rPr>
          <w:rFonts w:cs="Arial"/>
          <w:szCs w:val="20"/>
        </w:rPr>
      </w:pPr>
      <w:r w:rsidRPr="00ED5DCE">
        <w:rPr>
          <w:rFonts w:cs="Arial"/>
          <w:szCs w:val="20"/>
        </w:rPr>
        <w:t>Izkristalizējās nepieciešamība diferencēta atbalsta politiku, ņemot vērā klastera briedumu un darbību</w:t>
      </w:r>
      <w:r w:rsidR="00A1214D" w:rsidRPr="00ED5DCE">
        <w:rPr>
          <w:rFonts w:cs="Arial"/>
          <w:szCs w:val="20"/>
        </w:rPr>
        <w:t>.</w:t>
      </w:r>
    </w:p>
    <w:p w14:paraId="7E73DF52" w14:textId="08242BB0"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E-kultūras pakalpojumi</w:t>
      </w:r>
    </w:p>
    <w:p w14:paraId="3E4B52FC"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Projekti bija saistīti ar e-kultūras pakalpojumu attīstību un kultūras mantojuma </w:t>
      </w:r>
      <w:proofErr w:type="spellStart"/>
      <w:r w:rsidRPr="00ED5DCE">
        <w:rPr>
          <w:rFonts w:ascii="Arial" w:hAnsi="Arial" w:cs="Arial"/>
          <w:sz w:val="20"/>
          <w:szCs w:val="20"/>
        </w:rPr>
        <w:t>digitalizāciju</w:t>
      </w:r>
      <w:proofErr w:type="spellEnd"/>
      <w:r w:rsidRPr="00ED5DCE">
        <w:rPr>
          <w:rFonts w:ascii="Arial" w:hAnsi="Arial" w:cs="Arial"/>
          <w:sz w:val="20"/>
          <w:szCs w:val="20"/>
        </w:rPr>
        <w:t xml:space="preserve">. Kopumā aplūkoti 12 projekti, piemēram, Lietuvas Mākslas muzejs īstenojis Lietuvas Integrētās muzeju informācijas sistēmas ieviešanu, tādējādi sekmējot muzeju kolekciju </w:t>
      </w:r>
      <w:proofErr w:type="spellStart"/>
      <w:r w:rsidRPr="00ED5DCE">
        <w:rPr>
          <w:rFonts w:ascii="Arial" w:hAnsi="Arial" w:cs="Arial"/>
          <w:sz w:val="20"/>
          <w:szCs w:val="20"/>
        </w:rPr>
        <w:t>digitalizāciju</w:t>
      </w:r>
      <w:proofErr w:type="spellEnd"/>
      <w:r w:rsidRPr="00ED5DCE">
        <w:rPr>
          <w:rFonts w:ascii="Arial" w:hAnsi="Arial" w:cs="Arial"/>
          <w:sz w:val="20"/>
          <w:szCs w:val="20"/>
        </w:rPr>
        <w:t xml:space="preserve">. </w:t>
      </w:r>
    </w:p>
    <w:p w14:paraId="6ABB73AC"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34517D6E"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24 jauni e-pakalpojumi;</w:t>
      </w:r>
    </w:p>
    <w:p w14:paraId="3545A6AD" w14:textId="77777777" w:rsidR="006B1B2B" w:rsidRPr="00ED5DCE" w:rsidRDefault="006B1B2B" w:rsidP="006B1B2B">
      <w:pPr>
        <w:pStyle w:val="Sarakstarindkopa"/>
        <w:numPr>
          <w:ilvl w:val="0"/>
          <w:numId w:val="34"/>
        </w:numPr>
        <w:spacing w:after="240"/>
        <w:rPr>
          <w:rFonts w:cs="Arial"/>
          <w:szCs w:val="20"/>
        </w:rPr>
      </w:pPr>
      <w:proofErr w:type="spellStart"/>
      <w:r w:rsidRPr="00ED5DCE">
        <w:rPr>
          <w:rFonts w:cs="Arial"/>
          <w:szCs w:val="20"/>
        </w:rPr>
        <w:t>Digitalizēti</w:t>
      </w:r>
      <w:proofErr w:type="spellEnd"/>
      <w:r w:rsidRPr="00ED5DCE">
        <w:rPr>
          <w:rFonts w:cs="Arial"/>
          <w:szCs w:val="20"/>
        </w:rPr>
        <w:t xml:space="preserve"> 365 tūkstoši vienību;</w:t>
      </w:r>
    </w:p>
    <w:p w14:paraId="4C17F9C9"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 xml:space="preserve">150 tūkstoši jaunu </w:t>
      </w:r>
      <w:proofErr w:type="spellStart"/>
      <w:r w:rsidRPr="00ED5DCE">
        <w:rPr>
          <w:rFonts w:cs="Arial"/>
          <w:szCs w:val="20"/>
        </w:rPr>
        <w:t>digitalizēto</w:t>
      </w:r>
      <w:proofErr w:type="spellEnd"/>
      <w:r w:rsidRPr="00ED5DCE">
        <w:rPr>
          <w:rFonts w:cs="Arial"/>
          <w:szCs w:val="20"/>
        </w:rPr>
        <w:t xml:space="preserve"> kultūras vērtību;</w:t>
      </w:r>
    </w:p>
    <w:p w14:paraId="4ED68409"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 xml:space="preserve">Lietuvas Valsts arhīvs </w:t>
      </w:r>
      <w:proofErr w:type="spellStart"/>
      <w:r w:rsidRPr="00ED5DCE">
        <w:rPr>
          <w:rFonts w:cs="Arial"/>
          <w:szCs w:val="20"/>
        </w:rPr>
        <w:t>digitalizēja</w:t>
      </w:r>
      <w:proofErr w:type="spellEnd"/>
      <w:r w:rsidRPr="00ED5DCE">
        <w:rPr>
          <w:rFonts w:cs="Arial"/>
          <w:szCs w:val="20"/>
        </w:rPr>
        <w:t xml:space="preserve"> lietuviešu kino un izvietoja tīklā, ko dēvē par e-kino;</w:t>
      </w:r>
    </w:p>
    <w:p w14:paraId="16943C51"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 xml:space="preserve">Lietuvas Nacionālā bibliotēka </w:t>
      </w:r>
      <w:proofErr w:type="spellStart"/>
      <w:r w:rsidRPr="00ED5DCE">
        <w:rPr>
          <w:rFonts w:cs="Arial"/>
          <w:szCs w:val="20"/>
        </w:rPr>
        <w:t>digitalizēja</w:t>
      </w:r>
      <w:proofErr w:type="spellEnd"/>
      <w:r w:rsidRPr="00ED5DCE">
        <w:rPr>
          <w:rFonts w:cs="Arial"/>
          <w:szCs w:val="20"/>
        </w:rPr>
        <w:t xml:space="preserve"> lietuviešu literatūras klasiku;</w:t>
      </w:r>
    </w:p>
    <w:p w14:paraId="4FDAAA3E"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Lietuvas Neredzīgo bibliotēka izveidoja virtuālo bibliotēku neredzīgajiem.</w:t>
      </w:r>
    </w:p>
    <w:p w14:paraId="12C1FCEB"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37108888"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Veicināta stratēģisku lēmumu pieņemšana;</w:t>
      </w:r>
    </w:p>
    <w:p w14:paraId="105295FC"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 xml:space="preserve">Veicinātas </w:t>
      </w:r>
      <w:proofErr w:type="spellStart"/>
      <w:r w:rsidRPr="00ED5DCE">
        <w:rPr>
          <w:rFonts w:cs="Arial"/>
          <w:szCs w:val="20"/>
        </w:rPr>
        <w:t>digitalizācijas</w:t>
      </w:r>
      <w:proofErr w:type="spellEnd"/>
      <w:r w:rsidRPr="00ED5DCE">
        <w:rPr>
          <w:rFonts w:cs="Arial"/>
          <w:szCs w:val="20"/>
        </w:rPr>
        <w:t xml:space="preserve"> koncepta izmaiņas;</w:t>
      </w:r>
    </w:p>
    <w:p w14:paraId="4B50B073"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Iespēja komunicēt un sadarboties;</w:t>
      </w:r>
    </w:p>
    <w:p w14:paraId="718E05B0"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Kultūras mantojuma saglabāšanas veidu dažādošana;</w:t>
      </w:r>
    </w:p>
    <w:p w14:paraId="0DA505E6" w14:textId="4FA4EE67" w:rsidR="006B1B2B" w:rsidRPr="00ED5DCE" w:rsidRDefault="006B1B2B" w:rsidP="00ED5DCE">
      <w:pPr>
        <w:pStyle w:val="Sarakstarindkopa"/>
        <w:numPr>
          <w:ilvl w:val="0"/>
          <w:numId w:val="35"/>
        </w:numPr>
        <w:spacing w:after="240"/>
        <w:rPr>
          <w:rFonts w:cs="Arial"/>
          <w:szCs w:val="20"/>
        </w:rPr>
      </w:pPr>
      <w:r w:rsidRPr="00ED5DCE">
        <w:rPr>
          <w:rFonts w:cs="Arial"/>
          <w:szCs w:val="20"/>
        </w:rPr>
        <w:t>Pieaugusi kultūras mantojuma pieejamība</w:t>
      </w:r>
      <w:r w:rsidR="00ED5DCE">
        <w:rPr>
          <w:rFonts w:cs="Arial"/>
          <w:szCs w:val="20"/>
        </w:rPr>
        <w:t>.</w:t>
      </w:r>
    </w:p>
    <w:p w14:paraId="0EDFF7D6" w14:textId="055AC0C2"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Lietuviešu identitāte un lietuviešu valoda</w:t>
      </w:r>
    </w:p>
    <w:p w14:paraId="413397D2" w14:textId="77777777" w:rsidR="006B1B2B" w:rsidRPr="00ED5DCE" w:rsidRDefault="006B1B2B" w:rsidP="006B1B2B">
      <w:pPr>
        <w:jc w:val="both"/>
        <w:rPr>
          <w:rFonts w:ascii="Arial" w:hAnsi="Arial" w:cs="Arial"/>
          <w:sz w:val="20"/>
          <w:szCs w:val="20"/>
        </w:rPr>
      </w:pPr>
      <w:r w:rsidRPr="00ED5DCE">
        <w:rPr>
          <w:rFonts w:ascii="Arial" w:hAnsi="Arial" w:cs="Arial"/>
          <w:sz w:val="20"/>
          <w:szCs w:val="20"/>
        </w:rPr>
        <w:t xml:space="preserve">Projektu gaitā tika veicināta lietuviešu valodas lietošana interneta vidē, stiprinātus Lietuvas (Baltijas) centrus ārzemēs un veicināt to sadarbību ar Lietuvas pētniecības iestādēm, kā arī atbalstīt dažādus pētījumus. Šajā grupā iekļauti arī projekti, kuru mērķis bija uzlabot lietuviešu valodas apmācība, kā arī veikt dažādus </w:t>
      </w:r>
      <w:proofErr w:type="spellStart"/>
      <w:r w:rsidRPr="00ED5DCE">
        <w:rPr>
          <w:rFonts w:ascii="Arial" w:hAnsi="Arial" w:cs="Arial"/>
          <w:sz w:val="20"/>
          <w:szCs w:val="20"/>
        </w:rPr>
        <w:t>digitalizācijas</w:t>
      </w:r>
      <w:proofErr w:type="spellEnd"/>
      <w:r w:rsidRPr="00ED5DCE">
        <w:rPr>
          <w:rFonts w:ascii="Arial" w:hAnsi="Arial" w:cs="Arial"/>
          <w:sz w:val="20"/>
          <w:szCs w:val="20"/>
        </w:rPr>
        <w:t xml:space="preserve"> pasākumus. Piemēram, vienā no projektiem, ko īstenojusi Viļņas Universitāte, Vitauta Magnusa Universitāte un Lietuvas Pedagoģiskā universitāte, veidota sadarbība ar ārvalstu partneriem un Lietuvas izglītības iestādēm, uzlabojot studentu akadēmisko mobilitāti. </w:t>
      </w:r>
    </w:p>
    <w:p w14:paraId="73542D46"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lastRenderedPageBreak/>
        <w:t xml:space="preserve"> Projektu rezultāti:</w:t>
      </w:r>
    </w:p>
    <w:p w14:paraId="7F59DC66"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 xml:space="preserve">Interneta vietņu </w:t>
      </w:r>
      <w:hyperlink r:id="rId8" w:history="1">
        <w:r w:rsidRPr="00ED5DCE">
          <w:rPr>
            <w:rFonts w:cs="Arial"/>
            <w:szCs w:val="20"/>
          </w:rPr>
          <w:t>www.raštija.lt</w:t>
        </w:r>
      </w:hyperlink>
      <w:r w:rsidRPr="00ED5DCE">
        <w:rPr>
          <w:rFonts w:cs="Arial"/>
          <w:szCs w:val="20"/>
        </w:rPr>
        <w:t xml:space="preserve"> un </w:t>
      </w:r>
      <w:hyperlink r:id="rId9" w:history="1">
        <w:r w:rsidRPr="00ED5DCE">
          <w:rPr>
            <w:rFonts w:cs="Arial"/>
            <w:szCs w:val="20"/>
          </w:rPr>
          <w:t>www.šaltiniai.lt</w:t>
        </w:r>
      </w:hyperlink>
      <w:r w:rsidRPr="00ED5DCE">
        <w:rPr>
          <w:rFonts w:cs="Arial"/>
          <w:szCs w:val="20"/>
        </w:rPr>
        <w:t xml:space="preserve"> izveide;</w:t>
      </w:r>
    </w:p>
    <w:p w14:paraId="35692C91"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Noslēgti 10 sadarbības līgumi;</w:t>
      </w:r>
    </w:p>
    <w:p w14:paraId="1EDF85BA"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Izveidotas 59 pagaidu darbavietas zinātniekiem;</w:t>
      </w:r>
    </w:p>
    <w:p w14:paraId="0019FC41"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Internetā integrēti lietuviešu valodas informācijas resursi.</w:t>
      </w:r>
    </w:p>
    <w:p w14:paraId="7FEEE841"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0B5110FC" w14:textId="77777777" w:rsidR="006B1B2B" w:rsidRPr="00ED5DCE" w:rsidRDefault="006B1B2B" w:rsidP="006B1B2B">
      <w:pPr>
        <w:pStyle w:val="Sarakstarindkopa"/>
        <w:numPr>
          <w:ilvl w:val="0"/>
          <w:numId w:val="32"/>
        </w:numPr>
        <w:spacing w:after="240"/>
        <w:rPr>
          <w:rFonts w:cs="Arial"/>
          <w:szCs w:val="20"/>
        </w:rPr>
      </w:pPr>
      <w:r w:rsidRPr="00ED5DCE">
        <w:rPr>
          <w:rFonts w:cs="Arial"/>
          <w:szCs w:val="20"/>
        </w:rPr>
        <w:t>Ietekme jaunu tehnoloģiju izveidē un pilnveidē (roboti);</w:t>
      </w:r>
    </w:p>
    <w:p w14:paraId="40054F1D" w14:textId="77777777" w:rsidR="006B1B2B" w:rsidRPr="00ED5DCE" w:rsidRDefault="006B1B2B" w:rsidP="006B1B2B">
      <w:pPr>
        <w:pStyle w:val="Sarakstarindkopa"/>
        <w:numPr>
          <w:ilvl w:val="0"/>
          <w:numId w:val="32"/>
        </w:numPr>
        <w:spacing w:after="240"/>
        <w:rPr>
          <w:rFonts w:cs="Arial"/>
          <w:szCs w:val="20"/>
        </w:rPr>
      </w:pPr>
      <w:r w:rsidRPr="00ED5DCE">
        <w:rPr>
          <w:rFonts w:cs="Arial"/>
          <w:szCs w:val="20"/>
        </w:rPr>
        <w:t>Brīvi pieejamas datubāzes izveide, lai informētu par Lietuvas vēsturi un literatūru;</w:t>
      </w:r>
    </w:p>
    <w:p w14:paraId="26B8F4E3" w14:textId="77777777" w:rsidR="006B1B2B" w:rsidRPr="00ED5DCE" w:rsidRDefault="006B1B2B" w:rsidP="006B1B2B">
      <w:pPr>
        <w:pStyle w:val="Sarakstarindkopa"/>
        <w:numPr>
          <w:ilvl w:val="0"/>
          <w:numId w:val="32"/>
        </w:numPr>
        <w:spacing w:after="240"/>
        <w:rPr>
          <w:rFonts w:cs="Arial"/>
          <w:szCs w:val="20"/>
        </w:rPr>
      </w:pPr>
      <w:r w:rsidRPr="00ED5DCE">
        <w:rPr>
          <w:rFonts w:cs="Arial"/>
          <w:szCs w:val="20"/>
        </w:rPr>
        <w:t xml:space="preserve">Lietuvas literātu darbu pieejamība; </w:t>
      </w:r>
    </w:p>
    <w:p w14:paraId="33CCAB92" w14:textId="77777777" w:rsidR="00ED5DCE" w:rsidRDefault="006B1B2B" w:rsidP="006B1B2B">
      <w:pPr>
        <w:pStyle w:val="Sarakstarindkopa"/>
        <w:numPr>
          <w:ilvl w:val="0"/>
          <w:numId w:val="32"/>
        </w:numPr>
        <w:spacing w:after="240"/>
        <w:rPr>
          <w:rFonts w:cs="Arial"/>
          <w:szCs w:val="20"/>
        </w:rPr>
      </w:pPr>
      <w:r w:rsidRPr="00ED5DCE">
        <w:rPr>
          <w:rFonts w:cs="Arial"/>
          <w:szCs w:val="20"/>
        </w:rPr>
        <w:t>Filoloģijas studenti iesaistās projektu aktivitātēs.</w:t>
      </w:r>
    </w:p>
    <w:p w14:paraId="6BE8249D" w14:textId="4DDEDEBF" w:rsidR="006B1B2B" w:rsidRPr="00ED5DCE" w:rsidRDefault="006B1B2B" w:rsidP="00ED5DCE">
      <w:pPr>
        <w:spacing w:after="240"/>
        <w:rPr>
          <w:rFonts w:cs="Arial"/>
          <w:szCs w:val="20"/>
        </w:rPr>
      </w:pPr>
      <w:r w:rsidRPr="00ED5DCE">
        <w:rPr>
          <w:rFonts w:cs="Arial"/>
          <w:b/>
          <w:color w:val="1F4E79" w:themeColor="accent1" w:themeShade="80"/>
          <w:szCs w:val="20"/>
        </w:rPr>
        <w:t>Radošums izglītībā</w:t>
      </w:r>
    </w:p>
    <w:p w14:paraId="43D19073"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Prioritārie mērķi: izglītības kompetences un radošums izglītībā, rosinot izmantot neformālās izglītības iespējas kā kultūras un radošo izglītību. Lai sasniegtu radošumu, nepieciešams organizēt vispusīgu, kvalitatīvu formālo un neformālo mākslas izglītību, sagatavot mākslas, kultūras skolotājus, kultūras menedžerus, kā arī veicināt jaunradi. Piemēram, tika īstenoti tādi projekti kā “Filmu izglītības programma” un “Muzejs-skola-skolēns”, kas ļāva skolēniem ar neformāliem izglītības paņēmieniem izzināt dažādas zinātnes nozares, galvenokārt – mākslu, kā arī izpaust savu radošumu.</w:t>
      </w:r>
    </w:p>
    <w:p w14:paraId="599F578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50EDC862"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Kopumā projektā piedalījās 51 830 skolēni, skolotāji, administrācijas darbinieki, izglītības speciālisti;</w:t>
      </w:r>
    </w:p>
    <w:p w14:paraId="4D2D387C"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 xml:space="preserve">Piedalījās 47 776 skolēni jeb projektā piedalījās katrs septītais vispārējās izglītības skolēns; </w:t>
      </w:r>
    </w:p>
    <w:p w14:paraId="5ADCC191"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Izveidotas 17 mācību programmas;</w:t>
      </w:r>
    </w:p>
    <w:p w14:paraId="61FAAD51"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Modernizētas 10 mācību priekšmetu programmas (formālā izglītība).</w:t>
      </w:r>
    </w:p>
    <w:p w14:paraId="68D7EDDD"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3ECD37A3" w14:textId="77777777" w:rsidR="006B1B2B" w:rsidRPr="00ED5DCE" w:rsidRDefault="006B1B2B" w:rsidP="006B1B2B">
      <w:pPr>
        <w:pStyle w:val="Sarakstarindkopa"/>
        <w:numPr>
          <w:ilvl w:val="0"/>
          <w:numId w:val="30"/>
        </w:numPr>
        <w:rPr>
          <w:rFonts w:cs="Arial"/>
          <w:szCs w:val="20"/>
        </w:rPr>
      </w:pPr>
      <w:r w:rsidRPr="00ED5DCE">
        <w:rPr>
          <w:rFonts w:cs="Arial"/>
          <w:szCs w:val="20"/>
        </w:rPr>
        <w:t>Radošās sadarbības modeļa izveide;</w:t>
      </w:r>
    </w:p>
    <w:p w14:paraId="61DC47D2" w14:textId="77777777" w:rsidR="006B1B2B" w:rsidRPr="00ED5DCE" w:rsidRDefault="006B1B2B" w:rsidP="006B1B2B">
      <w:pPr>
        <w:pStyle w:val="Sarakstarindkopa"/>
        <w:numPr>
          <w:ilvl w:val="0"/>
          <w:numId w:val="30"/>
        </w:numPr>
        <w:rPr>
          <w:rFonts w:cs="Arial"/>
          <w:szCs w:val="20"/>
        </w:rPr>
      </w:pPr>
      <w:r w:rsidRPr="00ED5DCE">
        <w:rPr>
          <w:rFonts w:cs="Arial"/>
          <w:szCs w:val="20"/>
        </w:rPr>
        <w:t>Jauniešu izglītošana (semināri, darbnīcas, kino programmas);</w:t>
      </w:r>
    </w:p>
    <w:p w14:paraId="5ABC3ACC" w14:textId="77777777" w:rsidR="006B1B2B" w:rsidRPr="00ED5DCE" w:rsidRDefault="006B1B2B" w:rsidP="006B1B2B">
      <w:pPr>
        <w:pStyle w:val="Sarakstarindkopa"/>
        <w:numPr>
          <w:ilvl w:val="0"/>
          <w:numId w:val="30"/>
        </w:numPr>
        <w:rPr>
          <w:rFonts w:cs="Arial"/>
          <w:szCs w:val="20"/>
        </w:rPr>
      </w:pPr>
      <w:r w:rsidRPr="00ED5DCE">
        <w:rPr>
          <w:rFonts w:cs="Arial"/>
          <w:szCs w:val="20"/>
        </w:rPr>
        <w:t>Sadarbība izglītībā un zinātnē;</w:t>
      </w:r>
    </w:p>
    <w:p w14:paraId="02289974" w14:textId="77777777" w:rsidR="006B1B2B" w:rsidRPr="00ED5DCE" w:rsidRDefault="006B1B2B" w:rsidP="006B1B2B">
      <w:pPr>
        <w:pStyle w:val="Sarakstarindkopa"/>
        <w:numPr>
          <w:ilvl w:val="0"/>
          <w:numId w:val="30"/>
        </w:numPr>
        <w:rPr>
          <w:rFonts w:cs="Arial"/>
          <w:szCs w:val="20"/>
        </w:rPr>
      </w:pPr>
      <w:r w:rsidRPr="00ED5DCE">
        <w:rPr>
          <w:rFonts w:cs="Arial"/>
          <w:szCs w:val="20"/>
        </w:rPr>
        <w:t>Radošuma veicināšana;</w:t>
      </w:r>
    </w:p>
    <w:p w14:paraId="6A93957C" w14:textId="77777777" w:rsidR="006B1B2B" w:rsidRPr="00ED5DCE" w:rsidRDefault="006B1B2B" w:rsidP="006B1B2B">
      <w:pPr>
        <w:pStyle w:val="Sarakstarindkopa"/>
        <w:numPr>
          <w:ilvl w:val="0"/>
          <w:numId w:val="30"/>
        </w:numPr>
        <w:rPr>
          <w:rFonts w:cs="Arial"/>
          <w:szCs w:val="20"/>
        </w:rPr>
      </w:pPr>
      <w:r w:rsidRPr="00ED5DCE">
        <w:rPr>
          <w:rFonts w:cs="Arial"/>
          <w:szCs w:val="20"/>
        </w:rPr>
        <w:t>Pedagogu izglītošana.</w:t>
      </w:r>
    </w:p>
    <w:p w14:paraId="3ADAA58B" w14:textId="77777777" w:rsidR="006B1B2B" w:rsidRPr="00ED5DCE" w:rsidRDefault="006B1B2B" w:rsidP="006B1B2B">
      <w:pPr>
        <w:spacing w:after="240"/>
        <w:jc w:val="both"/>
        <w:rPr>
          <w:rFonts w:ascii="Arial" w:hAnsi="Arial" w:cs="Arial"/>
          <w:b/>
          <w:sz w:val="20"/>
          <w:szCs w:val="20"/>
        </w:rPr>
      </w:pPr>
    </w:p>
    <w:p w14:paraId="710D9AC3" w14:textId="684BF86D"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 xml:space="preserve">Kultūras politika, pārvalde un pētījumi </w:t>
      </w:r>
    </w:p>
    <w:p w14:paraId="31F71FCE"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Projekti īstenoti, lai uzlabotu pārvaldi, administrāciju, pētītu Lietuvas 20. gadsimta politisko un kultūras mantojumu, kā arī veiktu </w:t>
      </w:r>
      <w:proofErr w:type="spellStart"/>
      <w:r w:rsidRPr="00ED5DCE">
        <w:rPr>
          <w:rFonts w:ascii="Arial" w:hAnsi="Arial" w:cs="Arial"/>
          <w:sz w:val="20"/>
          <w:szCs w:val="20"/>
        </w:rPr>
        <w:t>priekšizpēti</w:t>
      </w:r>
      <w:proofErr w:type="spellEnd"/>
      <w:r w:rsidRPr="00ED5DCE">
        <w:rPr>
          <w:rFonts w:ascii="Arial" w:hAnsi="Arial" w:cs="Arial"/>
          <w:sz w:val="20"/>
          <w:szCs w:val="20"/>
        </w:rPr>
        <w:t>. Lielu daļu projektu īstenoja Kultūras ministrija un ar mākslu saistītas augstākās izglītības iestādes. Piemēram, viens no projektiem, ko īstenoja Kultūras ministrija (VP1-4.2-VRM-03-V-01-077 “Kultūras ministrijas darbības izvērtējums un optimizācijas projekts”), tika īstenots ar mērķi analizēt Kultūras ministrijas struktūras, funkcijas, iekšējo pārvaldi, daļu projekta veltīja zinātnes vecināšanai, radot iespēju izvairīties no papildus izdevumiem.</w:t>
      </w:r>
    </w:p>
    <w:p w14:paraId="708BEA24"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42A24BC8" w14:textId="10229DEC" w:rsidR="006B1B2B" w:rsidRPr="00ED5DCE" w:rsidRDefault="006B1B2B" w:rsidP="006B1B2B">
      <w:pPr>
        <w:pStyle w:val="Sarakstarindkopa"/>
        <w:numPr>
          <w:ilvl w:val="0"/>
          <w:numId w:val="28"/>
        </w:numPr>
        <w:spacing w:after="240"/>
        <w:rPr>
          <w:rFonts w:cs="Arial"/>
          <w:szCs w:val="20"/>
        </w:rPr>
      </w:pPr>
      <w:r w:rsidRPr="00ED5DCE">
        <w:rPr>
          <w:rFonts w:cs="Arial"/>
          <w:szCs w:val="20"/>
        </w:rPr>
        <w:t xml:space="preserve">Apstiprināts Nacionālais progresa plāns kultūrai 2014.-2020. </w:t>
      </w:r>
      <w:r w:rsidR="00F251DE">
        <w:rPr>
          <w:rFonts w:cs="Arial"/>
          <w:szCs w:val="20"/>
        </w:rPr>
        <w:t>g</w:t>
      </w:r>
      <w:r w:rsidR="00F251DE" w:rsidRPr="00ED5DCE">
        <w:rPr>
          <w:rFonts w:cs="Arial"/>
          <w:szCs w:val="20"/>
        </w:rPr>
        <w:t>adam</w:t>
      </w:r>
      <w:r w:rsidR="00F251DE">
        <w:rPr>
          <w:rFonts w:cs="Arial"/>
          <w:szCs w:val="20"/>
        </w:rPr>
        <w:t>;</w:t>
      </w:r>
    </w:p>
    <w:p w14:paraId="6742164A" w14:textId="77777777" w:rsidR="006B1B2B" w:rsidRPr="00ED5DCE" w:rsidRDefault="006B1B2B" w:rsidP="006B1B2B">
      <w:pPr>
        <w:pStyle w:val="Sarakstarindkopa"/>
        <w:numPr>
          <w:ilvl w:val="0"/>
          <w:numId w:val="28"/>
        </w:numPr>
        <w:spacing w:after="240"/>
        <w:rPr>
          <w:rFonts w:cs="Arial"/>
          <w:szCs w:val="20"/>
        </w:rPr>
      </w:pPr>
      <w:r w:rsidRPr="00ED5DCE">
        <w:rPr>
          <w:rFonts w:cs="Arial"/>
          <w:szCs w:val="20"/>
        </w:rPr>
        <w:t>15 pastāvīgu darbavietu izveide.</w:t>
      </w:r>
    </w:p>
    <w:p w14:paraId="6D5DFE8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49FA8597" w14:textId="77777777" w:rsidR="006B1B2B" w:rsidRPr="00ED5DCE" w:rsidRDefault="006B1B2B" w:rsidP="006B1B2B">
      <w:pPr>
        <w:pStyle w:val="Sarakstarindkopa"/>
        <w:numPr>
          <w:ilvl w:val="0"/>
          <w:numId w:val="29"/>
        </w:numPr>
        <w:spacing w:after="240"/>
        <w:rPr>
          <w:rFonts w:cs="Arial"/>
          <w:szCs w:val="20"/>
        </w:rPr>
      </w:pPr>
      <w:r w:rsidRPr="00ED5DCE">
        <w:rPr>
          <w:rFonts w:cs="Arial"/>
          <w:szCs w:val="20"/>
        </w:rPr>
        <w:t>Veiktie pētījumi atklāj jaunus, nezināmus vēstures faktus;</w:t>
      </w:r>
    </w:p>
    <w:p w14:paraId="2AE3D822" w14:textId="77777777" w:rsidR="006B1B2B" w:rsidRPr="00ED5DCE" w:rsidRDefault="006B1B2B" w:rsidP="006B1B2B">
      <w:pPr>
        <w:pStyle w:val="Sarakstarindkopa"/>
        <w:numPr>
          <w:ilvl w:val="0"/>
          <w:numId w:val="29"/>
        </w:numPr>
        <w:spacing w:after="240"/>
        <w:rPr>
          <w:rFonts w:cs="Arial"/>
          <w:szCs w:val="20"/>
        </w:rPr>
      </w:pPr>
      <w:r w:rsidRPr="00ED5DCE">
        <w:rPr>
          <w:rFonts w:cs="Arial"/>
          <w:szCs w:val="20"/>
        </w:rPr>
        <w:t>Izpratnes veicināšana sabiedrībā par Lietuvas vēsturi, kultūru, zinātni;</w:t>
      </w:r>
    </w:p>
    <w:p w14:paraId="01E767DF" w14:textId="77777777" w:rsidR="006B1B2B" w:rsidRPr="00ED5DCE" w:rsidRDefault="006B1B2B" w:rsidP="006B1B2B">
      <w:pPr>
        <w:pStyle w:val="Sarakstarindkopa"/>
        <w:numPr>
          <w:ilvl w:val="0"/>
          <w:numId w:val="29"/>
        </w:numPr>
        <w:spacing w:after="240"/>
        <w:rPr>
          <w:rFonts w:cs="Arial"/>
          <w:szCs w:val="20"/>
        </w:rPr>
      </w:pPr>
      <w:r w:rsidRPr="00ED5DCE">
        <w:rPr>
          <w:rFonts w:cs="Arial"/>
          <w:szCs w:val="20"/>
        </w:rPr>
        <w:t>Efektivitātes izvērtējumi ļauj spriest par tālāku institūciju nākotni, veicamajām strukturālajām izmaiņām.</w:t>
      </w:r>
    </w:p>
    <w:p w14:paraId="25888F7C" w14:textId="2D6C7946"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Nozares darbinieku kvalifikācija un darba apstākļi</w:t>
      </w:r>
    </w:p>
    <w:p w14:paraId="02F547BE"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Tika izvirzīti 2 nozīmīgākie mērķi – uzlabot kultūras darbinieku kompetences, valodu zināšanas, pārvaldes spējas un </w:t>
      </w:r>
      <w:proofErr w:type="spellStart"/>
      <w:r w:rsidRPr="00ED5DCE">
        <w:rPr>
          <w:rFonts w:ascii="Arial" w:hAnsi="Arial" w:cs="Arial"/>
          <w:sz w:val="20"/>
          <w:szCs w:val="20"/>
        </w:rPr>
        <w:t>datorzināšanas</w:t>
      </w:r>
      <w:proofErr w:type="spellEnd"/>
      <w:r w:rsidRPr="00ED5DCE">
        <w:rPr>
          <w:rFonts w:ascii="Arial" w:hAnsi="Arial" w:cs="Arial"/>
          <w:sz w:val="20"/>
          <w:szCs w:val="20"/>
        </w:rPr>
        <w:t xml:space="preserve">, kā arī uzlabot kultūras institūciju darba apstākļus. Piemēram, vienu no projektiem, lai uzlabotu darba vidi, īstenoja Lietuvas Kultūras darbinieku arodbiedrība. Projektu Nr. VP1-1.1-SADM-02-K-01-011 “Sociālais dialogs Lietuvas kultūras institūcijās” īstenoja, lai stiprinātu personāla tiesības drošībai, veselībai un aizsardzībai. </w:t>
      </w:r>
    </w:p>
    <w:p w14:paraId="16CDF74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lastRenderedPageBreak/>
        <w:t>Projektu rezultāti:</w:t>
      </w:r>
    </w:p>
    <w:p w14:paraId="76941B8F" w14:textId="77777777" w:rsidR="006B1B2B" w:rsidRPr="00ED5DCE" w:rsidRDefault="006B1B2B" w:rsidP="006B1B2B">
      <w:pPr>
        <w:pStyle w:val="Sarakstarindkopa"/>
        <w:numPr>
          <w:ilvl w:val="0"/>
          <w:numId w:val="26"/>
        </w:numPr>
        <w:spacing w:after="240"/>
        <w:rPr>
          <w:rFonts w:cs="Arial"/>
          <w:szCs w:val="20"/>
        </w:rPr>
      </w:pPr>
      <w:r w:rsidRPr="00ED5DCE">
        <w:rPr>
          <w:rFonts w:cs="Arial"/>
          <w:szCs w:val="20"/>
        </w:rPr>
        <w:t>Uzlabota 2 297 kultūras darbinieku kvalifikācija;</w:t>
      </w:r>
    </w:p>
    <w:p w14:paraId="2AF239B5" w14:textId="77777777" w:rsidR="006B1B2B" w:rsidRPr="00ED5DCE" w:rsidRDefault="006B1B2B" w:rsidP="006B1B2B">
      <w:pPr>
        <w:pStyle w:val="Sarakstarindkopa"/>
        <w:numPr>
          <w:ilvl w:val="0"/>
          <w:numId w:val="26"/>
        </w:numPr>
        <w:spacing w:after="240"/>
        <w:rPr>
          <w:rFonts w:cs="Arial"/>
          <w:szCs w:val="20"/>
        </w:rPr>
      </w:pPr>
      <w:r w:rsidRPr="00ED5DCE">
        <w:rPr>
          <w:rFonts w:cs="Arial"/>
          <w:szCs w:val="20"/>
        </w:rPr>
        <w:t>Mācībās piedalījās 84% bibliotekāru un 72% Kultūras mantojuma departamenta darbinieku.</w:t>
      </w:r>
    </w:p>
    <w:p w14:paraId="299C98DE"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77A13464" w14:textId="77777777" w:rsidR="006B1B2B" w:rsidRPr="00ED5DCE" w:rsidRDefault="006B1B2B" w:rsidP="006B1B2B">
      <w:pPr>
        <w:pStyle w:val="Sarakstarindkopa"/>
        <w:numPr>
          <w:ilvl w:val="0"/>
          <w:numId w:val="27"/>
        </w:numPr>
        <w:spacing w:after="240"/>
        <w:rPr>
          <w:rFonts w:cs="Arial"/>
          <w:szCs w:val="20"/>
        </w:rPr>
      </w:pPr>
      <w:r w:rsidRPr="00ED5DCE">
        <w:rPr>
          <w:rFonts w:cs="Arial"/>
          <w:szCs w:val="20"/>
        </w:rPr>
        <w:t>Izpratne kā apvienot mājas un darba pienākumus;</w:t>
      </w:r>
    </w:p>
    <w:p w14:paraId="7E63E5EC" w14:textId="77777777" w:rsidR="006B1B2B" w:rsidRPr="00ED5DCE" w:rsidRDefault="006B1B2B" w:rsidP="006B1B2B">
      <w:pPr>
        <w:pStyle w:val="Sarakstarindkopa"/>
        <w:numPr>
          <w:ilvl w:val="0"/>
          <w:numId w:val="27"/>
        </w:numPr>
        <w:spacing w:after="240"/>
        <w:rPr>
          <w:rFonts w:cs="Arial"/>
          <w:szCs w:val="20"/>
        </w:rPr>
      </w:pPr>
      <w:r w:rsidRPr="00ED5DCE">
        <w:rPr>
          <w:rFonts w:cs="Arial"/>
          <w:szCs w:val="20"/>
        </w:rPr>
        <w:t>Izpratne par savām tiesībām;</w:t>
      </w:r>
    </w:p>
    <w:p w14:paraId="004CE7BC" w14:textId="05D99183" w:rsidR="006B1B2B" w:rsidRPr="00ED5DCE" w:rsidRDefault="006B1B2B" w:rsidP="000C47AA">
      <w:pPr>
        <w:pStyle w:val="Sarakstarindkopa"/>
        <w:numPr>
          <w:ilvl w:val="0"/>
          <w:numId w:val="27"/>
        </w:numPr>
        <w:spacing w:after="240"/>
        <w:rPr>
          <w:rFonts w:cs="Arial"/>
          <w:szCs w:val="20"/>
        </w:rPr>
      </w:pPr>
      <w:r w:rsidRPr="00ED5DCE">
        <w:rPr>
          <w:rFonts w:cs="Arial"/>
          <w:szCs w:val="20"/>
        </w:rPr>
        <w:t>Pieaugusi izpratne par dažādām kultūras nozarēm.</w:t>
      </w:r>
    </w:p>
    <w:p w14:paraId="2162B69E" w14:textId="77777777" w:rsidR="006B1B2B" w:rsidRPr="00ED5DCE" w:rsidRDefault="006B1B2B" w:rsidP="006B1B2B">
      <w:pPr>
        <w:pStyle w:val="Virsraksts2"/>
        <w:spacing w:before="240" w:after="240" w:line="240" w:lineRule="auto"/>
        <w:jc w:val="both"/>
        <w:rPr>
          <w:rFonts w:ascii="Arial" w:eastAsiaTheme="minorHAnsi" w:hAnsi="Arial" w:cs="Arial"/>
          <w:b/>
          <w:color w:val="1F4E79" w:themeColor="accent1" w:themeShade="80"/>
          <w:sz w:val="20"/>
          <w:szCs w:val="20"/>
        </w:rPr>
      </w:pPr>
      <w:r w:rsidRPr="00ED5DCE">
        <w:rPr>
          <w:rFonts w:ascii="Arial" w:eastAsiaTheme="minorHAnsi" w:hAnsi="Arial" w:cs="Arial"/>
          <w:b/>
          <w:color w:val="1F4E79" w:themeColor="accent1" w:themeShade="80"/>
          <w:sz w:val="20"/>
          <w:szCs w:val="20"/>
        </w:rPr>
        <w:t>Lietuvas investīciju kultūrvides attīstībā ietekme - muzeji</w:t>
      </w:r>
    </w:p>
    <w:p w14:paraId="6304A264" w14:textId="1B1131F7" w:rsidR="006B1B2B" w:rsidRPr="00ED5DCE" w:rsidRDefault="006B1B2B" w:rsidP="006B1B2B">
      <w:pPr>
        <w:spacing w:after="120"/>
        <w:jc w:val="both"/>
        <w:rPr>
          <w:rFonts w:ascii="Arial" w:hAnsi="Arial" w:cs="Arial"/>
          <w:sz w:val="20"/>
          <w:szCs w:val="20"/>
        </w:rPr>
      </w:pPr>
      <w:r w:rsidRPr="00ED5DCE">
        <w:rPr>
          <w:rFonts w:ascii="Arial" w:hAnsi="Arial" w:cs="Arial"/>
          <w:sz w:val="20"/>
          <w:szCs w:val="20"/>
        </w:rPr>
        <w:t xml:space="preserve">Vērtējot kopējo ES finansējuma piesaisti muzeju modernizācijai un kultūras mantojuma saglabāšanai 2007.-2013.gada plānošanas periodā, izvērtējuma ziņojumā secināts, ka pārskata periodā </w:t>
      </w:r>
      <w:r w:rsidRPr="00ED5DCE">
        <w:rPr>
          <w:rFonts w:ascii="Arial" w:hAnsi="Arial" w:cs="Arial"/>
          <w:b/>
          <w:color w:val="1F4E79" w:themeColor="accent1" w:themeShade="80"/>
          <w:sz w:val="20"/>
          <w:szCs w:val="20"/>
        </w:rPr>
        <w:t>ES fondu ieguldījums veidoja tikai 38% no visām veiktajām investīcijām</w:t>
      </w:r>
      <w:r w:rsidRPr="00ED5DCE">
        <w:rPr>
          <w:rFonts w:ascii="Arial" w:hAnsi="Arial" w:cs="Arial"/>
          <w:sz w:val="20"/>
          <w:szCs w:val="20"/>
        </w:rPr>
        <w:t xml:space="preserve"> muzeja infrastruktūras modernizācijā. Kopumā aplūkotajā periodā muzeju modernizācijai novirzīti 118 miljoni eiro. </w:t>
      </w:r>
    </w:p>
    <w:p w14:paraId="43D6BA22" w14:textId="77777777" w:rsidR="006B1B2B" w:rsidRPr="00ED5DCE" w:rsidRDefault="006B1B2B" w:rsidP="006B1B2B">
      <w:pPr>
        <w:spacing w:after="120"/>
        <w:jc w:val="both"/>
        <w:rPr>
          <w:rFonts w:ascii="Arial" w:hAnsi="Arial" w:cs="Arial"/>
          <w:sz w:val="20"/>
          <w:szCs w:val="20"/>
        </w:rPr>
      </w:pPr>
      <w:r w:rsidRPr="00ED5DCE">
        <w:rPr>
          <w:rFonts w:ascii="Arial" w:hAnsi="Arial" w:cs="Arial"/>
          <w:sz w:val="20"/>
          <w:szCs w:val="20"/>
        </w:rPr>
        <w:t>Atbalsta pasākumi īstenoti Muzeju modernizācijas programmā 2007. - 2015. gadam (n+2 periods), kā arī finansēto ES struktūrfondu Lietuvas Tūkstošgades attīstības programmas un Privatizācijas fonda ietvaros. Jāatzīmē, ka ierobežoto datu dēļ ziņojumā nav ietverts pašvaldību ieguldījums muzeju infrastruktūras modernizācijā. Tādējādi ziņojumā secināts, ka citiem avotiem, nevis ES strukturālais atbalstam, bija būtiskāka loma muzeja infrastruktūras modernizācijā</w:t>
      </w:r>
      <w:r w:rsidRPr="00ED5DCE">
        <w:rPr>
          <w:rFonts w:ascii="Arial" w:hAnsi="Arial" w:cs="Arial"/>
          <w:sz w:val="20"/>
          <w:szCs w:val="20"/>
          <w:vertAlign w:val="superscript"/>
        </w:rPr>
        <w:footnoteReference w:id="3"/>
      </w:r>
      <w:r w:rsidRPr="00ED5DCE">
        <w:rPr>
          <w:rFonts w:ascii="Arial" w:hAnsi="Arial" w:cs="Arial"/>
          <w:sz w:val="20"/>
          <w:szCs w:val="20"/>
        </w:rPr>
        <w:t>.</w:t>
      </w:r>
    </w:p>
    <w:p w14:paraId="1FAF8218" w14:textId="77777777" w:rsidR="006B1B2B" w:rsidRPr="00ED5DCE" w:rsidRDefault="006B1B2B" w:rsidP="006B1B2B">
      <w:pPr>
        <w:jc w:val="both"/>
        <w:rPr>
          <w:rFonts w:ascii="Arial" w:hAnsi="Arial" w:cs="Arial"/>
          <w:sz w:val="20"/>
          <w:szCs w:val="20"/>
        </w:rPr>
      </w:pPr>
      <w:r w:rsidRPr="00ED5DCE">
        <w:rPr>
          <w:rFonts w:ascii="Arial" w:hAnsi="Arial" w:cs="Arial"/>
          <w:sz w:val="20"/>
          <w:szCs w:val="20"/>
        </w:rPr>
        <w:t xml:space="preserve">Izvērtējot 2007.-2013.gada plānošanas perioda īstenoto projektu ieguldījumu tūristu skaita pieaugumā, secināts, ka projektu īstenotājiem noteiktos pieauguma </w:t>
      </w:r>
      <w:r w:rsidRPr="00ED5DCE">
        <w:rPr>
          <w:rFonts w:ascii="Arial" w:hAnsi="Arial" w:cs="Arial"/>
          <w:b/>
          <w:color w:val="1F4E79" w:themeColor="accent1" w:themeShade="80"/>
          <w:sz w:val="20"/>
          <w:szCs w:val="20"/>
        </w:rPr>
        <w:t>mērķus ne vienmēr ir izdevies sasniegt</w:t>
      </w:r>
      <w:r w:rsidRPr="00ED5DCE">
        <w:rPr>
          <w:rFonts w:ascii="Arial" w:hAnsi="Arial" w:cs="Arial"/>
          <w:sz w:val="20"/>
          <w:szCs w:val="20"/>
        </w:rPr>
        <w:t>. Kā piemēru minot, Traķu muzeja projektu (Nr. VP3-1.3-ME-02-V-01-023). Projektā noteiktais mērķis bija palielināt apmeklētāju skaitu par 18 000 tūristu trīs gadu laikā, bet, pamatojoties uz datiem, kas sniegti struktūrfondu ieviesējiem, muzejs piesaistīja 11 237 tūristus, tādējādi projekta līgumā noteiktie mērķi netika sasniegti</w:t>
      </w:r>
      <w:r w:rsidRPr="00ED5DCE">
        <w:rPr>
          <w:rFonts w:ascii="Arial" w:hAnsi="Arial" w:cs="Arial"/>
          <w:sz w:val="20"/>
          <w:szCs w:val="20"/>
          <w:vertAlign w:val="superscript"/>
        </w:rPr>
        <w:footnoteReference w:id="4"/>
      </w:r>
      <w:r w:rsidRPr="00ED5DCE">
        <w:rPr>
          <w:rFonts w:ascii="Arial" w:hAnsi="Arial" w:cs="Arial"/>
          <w:sz w:val="20"/>
          <w:szCs w:val="20"/>
        </w:rPr>
        <w:t>.</w:t>
      </w:r>
    </w:p>
    <w:p w14:paraId="5116EF68" w14:textId="6BBEAE2F" w:rsidR="006B1B2B" w:rsidRPr="00ED5DCE" w:rsidRDefault="006B1B2B" w:rsidP="006B1B2B">
      <w:pPr>
        <w:jc w:val="both"/>
        <w:rPr>
          <w:rFonts w:ascii="Arial" w:hAnsi="Arial" w:cs="Arial"/>
          <w:sz w:val="20"/>
          <w:szCs w:val="20"/>
        </w:rPr>
      </w:pPr>
      <w:r w:rsidRPr="00ED5DCE">
        <w:rPr>
          <w:rFonts w:ascii="Arial" w:hAnsi="Arial" w:cs="Arial"/>
          <w:sz w:val="20"/>
          <w:szCs w:val="20"/>
        </w:rPr>
        <w:t xml:space="preserve">Jāpiebilst, ka, lai gan vidējā termiņa mērķis netika sasniegts, Traķu muzeja komplekss atbilstoši  2015. gada datiem, atzīts par Lietuvas apmeklētāko muzeju. Saskaņā ar 2016. gada kultūras statistikas apkopojumu, to 2015. gadā </w:t>
      </w:r>
      <w:r w:rsidR="00F251DE">
        <w:rPr>
          <w:rFonts w:ascii="Arial" w:hAnsi="Arial" w:cs="Arial"/>
          <w:sz w:val="20"/>
          <w:szCs w:val="20"/>
        </w:rPr>
        <w:t>ir</w:t>
      </w:r>
      <w:r w:rsidR="00F251DE" w:rsidRPr="00ED5DCE">
        <w:rPr>
          <w:rFonts w:ascii="Arial" w:hAnsi="Arial" w:cs="Arial"/>
          <w:sz w:val="20"/>
          <w:szCs w:val="20"/>
        </w:rPr>
        <w:t xml:space="preserve"> </w:t>
      </w:r>
      <w:r w:rsidRPr="00ED5DCE">
        <w:rPr>
          <w:rFonts w:ascii="Arial" w:hAnsi="Arial" w:cs="Arial"/>
          <w:sz w:val="20"/>
          <w:szCs w:val="20"/>
        </w:rPr>
        <w:t xml:space="preserve">362,6 tūkst. </w:t>
      </w:r>
      <w:r w:rsidR="00F251DE">
        <w:rPr>
          <w:rFonts w:ascii="Arial" w:hAnsi="Arial" w:cs="Arial"/>
          <w:sz w:val="20"/>
          <w:szCs w:val="20"/>
        </w:rPr>
        <w:t>apmeklējumi</w:t>
      </w:r>
      <w:r w:rsidRPr="00ED5DCE">
        <w:rPr>
          <w:rFonts w:ascii="Arial" w:hAnsi="Arial" w:cs="Arial"/>
          <w:sz w:val="20"/>
          <w:szCs w:val="20"/>
        </w:rPr>
        <w:t>. Piecu populārāko muzeju sarakstā iekļauts arī Lietuvas Mākslas muzejs (342,7 t</w:t>
      </w:r>
      <w:r w:rsidR="00F251DE">
        <w:rPr>
          <w:rFonts w:ascii="Arial" w:hAnsi="Arial" w:cs="Arial"/>
          <w:sz w:val="20"/>
          <w:szCs w:val="20"/>
        </w:rPr>
        <w:t>ūkst. apmeklējumi</w:t>
      </w:r>
      <w:r w:rsidRPr="00ED5DCE">
        <w:rPr>
          <w:rFonts w:ascii="Arial" w:hAnsi="Arial" w:cs="Arial"/>
          <w:sz w:val="20"/>
          <w:szCs w:val="20"/>
        </w:rPr>
        <w:t>), Lietuvas Jūras muzejs (342,0 t</w:t>
      </w:r>
      <w:r w:rsidR="00F251DE">
        <w:rPr>
          <w:rFonts w:ascii="Arial" w:hAnsi="Arial" w:cs="Arial"/>
          <w:sz w:val="20"/>
          <w:szCs w:val="20"/>
        </w:rPr>
        <w:t>ūkst. apmeklējumi</w:t>
      </w:r>
      <w:r w:rsidR="00F251DE" w:rsidRPr="00ED5DCE">
        <w:rPr>
          <w:rFonts w:ascii="Arial" w:hAnsi="Arial" w:cs="Arial"/>
          <w:sz w:val="20"/>
          <w:szCs w:val="20"/>
        </w:rPr>
        <w:t xml:space="preserve">) </w:t>
      </w:r>
      <w:r w:rsidRPr="00ED5DCE">
        <w:rPr>
          <w:rFonts w:ascii="Arial" w:hAnsi="Arial" w:cs="Arial"/>
          <w:sz w:val="20"/>
          <w:szCs w:val="20"/>
        </w:rPr>
        <w:t>un Lietuvas Nacionālais muzejs (303,6 t</w:t>
      </w:r>
      <w:r w:rsidR="00F251DE">
        <w:rPr>
          <w:rFonts w:ascii="Arial" w:hAnsi="Arial" w:cs="Arial"/>
          <w:sz w:val="20"/>
          <w:szCs w:val="20"/>
        </w:rPr>
        <w:t>ūkst. apmeklējumi</w:t>
      </w:r>
      <w:r w:rsidRPr="00ED5DCE">
        <w:rPr>
          <w:rFonts w:ascii="Arial" w:hAnsi="Arial" w:cs="Arial"/>
          <w:sz w:val="20"/>
          <w:szCs w:val="20"/>
        </w:rPr>
        <w:t>)</w:t>
      </w:r>
      <w:r w:rsidRPr="00ED5DCE">
        <w:rPr>
          <w:rFonts w:ascii="Arial" w:hAnsi="Arial" w:cs="Arial"/>
          <w:sz w:val="20"/>
          <w:szCs w:val="20"/>
        </w:rPr>
        <w:footnoteReference w:id="5"/>
      </w:r>
      <w:r w:rsidRPr="00ED5DCE">
        <w:rPr>
          <w:rFonts w:ascii="Arial" w:hAnsi="Arial" w:cs="Arial"/>
          <w:sz w:val="20"/>
          <w:szCs w:val="20"/>
        </w:rPr>
        <w:t>. Lietuvas mākslas muzejs 2007. - 2013. periodā īstenoja četrus projektus, bet Lietuvas Jūras muzejs īstenoja trīs projektus</w:t>
      </w:r>
      <w:r w:rsidRPr="00ED5DCE">
        <w:rPr>
          <w:rFonts w:ascii="Arial" w:hAnsi="Arial" w:cs="Arial"/>
          <w:sz w:val="20"/>
          <w:szCs w:val="20"/>
        </w:rPr>
        <w:footnoteReference w:id="6"/>
      </w:r>
      <w:r w:rsidRPr="00ED5DCE">
        <w:rPr>
          <w:rFonts w:ascii="Arial" w:hAnsi="Arial" w:cs="Arial"/>
          <w:sz w:val="20"/>
          <w:szCs w:val="20"/>
        </w:rPr>
        <w:t xml:space="preserve">. Kopējais muzeju apmeklētāju skaits Lietuvas populārākajos piecos muzejos pēc 2015. gada datiem sasniedza 1,6 miljonus </w:t>
      </w:r>
      <w:r w:rsidR="00E5650C">
        <w:rPr>
          <w:rFonts w:ascii="Arial" w:hAnsi="Arial" w:cs="Arial"/>
          <w:sz w:val="20"/>
          <w:szCs w:val="20"/>
        </w:rPr>
        <w:t>apmeklējumu</w:t>
      </w:r>
      <w:r w:rsidRPr="00ED5DCE">
        <w:rPr>
          <w:rFonts w:ascii="Arial" w:hAnsi="Arial" w:cs="Arial"/>
          <w:sz w:val="20"/>
          <w:szCs w:val="20"/>
        </w:rPr>
        <w:t>.</w:t>
      </w:r>
    </w:p>
    <w:p w14:paraId="77EB52E0" w14:textId="77777777" w:rsidR="006B1B2B" w:rsidRPr="00ED5DCE" w:rsidRDefault="006B1B2B" w:rsidP="006B1B2B">
      <w:pPr>
        <w:spacing w:after="120"/>
        <w:jc w:val="both"/>
        <w:rPr>
          <w:rFonts w:ascii="Arial" w:hAnsi="Arial" w:cs="Arial"/>
          <w:sz w:val="20"/>
          <w:szCs w:val="20"/>
        </w:rPr>
      </w:pPr>
      <w:r w:rsidRPr="00ED5DCE">
        <w:rPr>
          <w:rFonts w:ascii="Arial" w:hAnsi="Arial" w:cs="Arial"/>
          <w:sz w:val="20"/>
          <w:szCs w:val="20"/>
        </w:rPr>
        <w:t>Ziņojuma autori veica arī 33 muzeju, kas laika posmā no 2007. līdz 2015. gadam īstenoja 48 ES finansētos projektus to infrastruktūras modernizācijai</w:t>
      </w:r>
      <w:r w:rsidRPr="00ED5DCE">
        <w:rPr>
          <w:rFonts w:ascii="Arial" w:hAnsi="Arial" w:cs="Arial"/>
          <w:sz w:val="20"/>
          <w:szCs w:val="20"/>
          <w:vertAlign w:val="superscript"/>
        </w:rPr>
        <w:footnoteReference w:id="7"/>
      </w:r>
      <w:r w:rsidRPr="00ED5DCE">
        <w:rPr>
          <w:rFonts w:ascii="Arial" w:hAnsi="Arial" w:cs="Arial"/>
          <w:sz w:val="20"/>
          <w:szCs w:val="20"/>
        </w:rPr>
        <w:t xml:space="preserve">, aptauju. Atbildes tika saņemtas no 46% respondentu. Arī aptaujātie muzeji apliecināja, ka </w:t>
      </w:r>
      <w:r w:rsidRPr="00ED5DCE">
        <w:rPr>
          <w:rFonts w:ascii="Arial" w:hAnsi="Arial" w:cs="Arial"/>
          <w:b/>
          <w:color w:val="1F4E79" w:themeColor="accent1" w:themeShade="80"/>
          <w:sz w:val="20"/>
          <w:szCs w:val="20"/>
        </w:rPr>
        <w:t>ES strukturālā palīdzība nav galvenais muzeja modernizācijas projekta finansējuma avots</w:t>
      </w:r>
      <w:r w:rsidRPr="00ED5DCE">
        <w:rPr>
          <w:rFonts w:ascii="Arial" w:hAnsi="Arial" w:cs="Arial"/>
          <w:sz w:val="20"/>
          <w:szCs w:val="20"/>
        </w:rPr>
        <w:t>. Ziņojuma autori secināja, ka šī atbilde apliecināja, ka apmeklētāju plūsmu pieaugums veicināja ne tikai ES struktūrfondu atbalsts, bet arī citas veiktās investīcijas/ ieguldījums (valsts investīcijas, muzeju ieņēmumi, dibinātāju dotācijas)</w:t>
      </w:r>
      <w:r w:rsidRPr="00ED5DCE">
        <w:rPr>
          <w:rFonts w:ascii="Arial" w:hAnsi="Arial" w:cs="Arial"/>
          <w:sz w:val="20"/>
          <w:szCs w:val="20"/>
          <w:vertAlign w:val="superscript"/>
        </w:rPr>
        <w:footnoteReference w:id="8"/>
      </w:r>
      <w:r w:rsidRPr="00ED5DCE">
        <w:rPr>
          <w:rFonts w:ascii="Arial" w:hAnsi="Arial" w:cs="Arial"/>
          <w:sz w:val="20"/>
          <w:szCs w:val="20"/>
        </w:rPr>
        <w:t>.</w:t>
      </w:r>
    </w:p>
    <w:p w14:paraId="19D7635F" w14:textId="76A5A0FA" w:rsidR="006B1B2B" w:rsidRPr="00ED5DCE" w:rsidRDefault="006B1B2B" w:rsidP="006B1B2B">
      <w:pPr>
        <w:jc w:val="both"/>
        <w:rPr>
          <w:rFonts w:ascii="Arial" w:hAnsi="Arial" w:cs="Arial"/>
          <w:sz w:val="20"/>
          <w:szCs w:val="20"/>
        </w:rPr>
      </w:pPr>
      <w:r w:rsidRPr="00ED5DCE">
        <w:rPr>
          <w:rFonts w:ascii="Arial" w:hAnsi="Arial" w:cs="Arial"/>
          <w:sz w:val="20"/>
          <w:szCs w:val="20"/>
        </w:rPr>
        <w:t xml:space="preserve">Lielākā daļa respondentu (80%) norādīja, ka pēc projekta īstenošanas "apmeklētāju plūsmas pieaugumu visvairāk </w:t>
      </w:r>
      <w:r w:rsidRPr="00ED5DCE">
        <w:rPr>
          <w:rFonts w:ascii="Arial" w:hAnsi="Arial" w:cs="Arial"/>
          <w:b/>
          <w:color w:val="1F4E79" w:themeColor="accent1" w:themeShade="80"/>
          <w:sz w:val="20"/>
          <w:szCs w:val="20"/>
        </w:rPr>
        <w:t>veicināja atjaunotās vai paplašinātās telpas</w:t>
      </w:r>
      <w:r w:rsidRPr="00ED5DCE">
        <w:rPr>
          <w:rFonts w:ascii="Arial" w:hAnsi="Arial" w:cs="Arial"/>
          <w:sz w:val="20"/>
          <w:szCs w:val="20"/>
        </w:rPr>
        <w:t xml:space="preserve">", 73% norādīja, ka apmeklētāju skaits pieaudzis pateicoties </w:t>
      </w:r>
      <w:r w:rsidRPr="00ED5DCE">
        <w:rPr>
          <w:rFonts w:ascii="Arial" w:hAnsi="Arial" w:cs="Arial"/>
          <w:b/>
          <w:color w:val="1F4E79" w:themeColor="accent1" w:themeShade="80"/>
          <w:sz w:val="20"/>
          <w:szCs w:val="20"/>
        </w:rPr>
        <w:t>materiālās bāze</w:t>
      </w:r>
      <w:r w:rsidRPr="00ED5DCE">
        <w:rPr>
          <w:rFonts w:ascii="Arial" w:hAnsi="Arial" w:cs="Arial"/>
          <w:sz w:val="20"/>
          <w:szCs w:val="20"/>
        </w:rPr>
        <w:t xml:space="preserve"> (aprīkojums, ekspozīcijas) </w:t>
      </w:r>
      <w:r w:rsidRPr="00ED5DCE">
        <w:rPr>
          <w:rFonts w:ascii="Arial" w:hAnsi="Arial" w:cs="Arial"/>
          <w:b/>
          <w:color w:val="1F4E79" w:themeColor="accent1" w:themeShade="80"/>
          <w:sz w:val="20"/>
          <w:szCs w:val="20"/>
        </w:rPr>
        <w:t>modernizācijai</w:t>
      </w:r>
      <w:r w:rsidRPr="00ED5DCE">
        <w:rPr>
          <w:rFonts w:ascii="Arial" w:hAnsi="Arial" w:cs="Arial"/>
          <w:sz w:val="20"/>
          <w:szCs w:val="20"/>
        </w:rPr>
        <w:t xml:space="preserve">. Respondenti atzina, ka sniegtais ieguldījums ir palielinājis muzeju sniegto pakalpojumu apjomu. Kopumā, ziņojumā secināts, ka ES strukturālo fondu atbalstam ir bijusi pozitīva ietekme, jo 33% respondentu atzīst, ka līdz projektu īstenošanai lielākā daļa nekustamā īpašuma potenciālu netika izmantota. 46% atzīst, ka objekti bija pamesti, vai tikai daļēji izmantoti (daļa no ēkas vai kompleksa daļa), savukārt pēc projektu </w:t>
      </w:r>
      <w:r w:rsidRPr="00ED5DCE">
        <w:rPr>
          <w:rFonts w:ascii="Arial" w:hAnsi="Arial" w:cs="Arial"/>
          <w:sz w:val="20"/>
          <w:szCs w:val="20"/>
        </w:rPr>
        <w:lastRenderedPageBreak/>
        <w:t>ieviešanas situācija mainījās. Turklāt ES investīcijas ir palielinājušas sniegto kultūras pakalpojumu apjomu (pieaudzis rīkoto pasākumu skaits), daudzveidību (izstrādāti vai būtiski uzlaboti kultūras pakalpojumi, ko tieši nodrošina uzņēmumi, izglītojoši pasākumi, festivāli un citas aktivitātes), kvalitāti un pieejamību</w:t>
      </w:r>
      <w:r w:rsidRPr="00ED5DCE">
        <w:rPr>
          <w:rFonts w:ascii="Arial" w:hAnsi="Arial" w:cs="Arial"/>
          <w:sz w:val="20"/>
          <w:szCs w:val="20"/>
          <w:vertAlign w:val="superscript"/>
        </w:rPr>
        <w:footnoteReference w:id="9"/>
      </w:r>
      <w:r w:rsidRPr="00ED5DCE">
        <w:rPr>
          <w:rFonts w:ascii="Arial" w:hAnsi="Arial" w:cs="Arial"/>
          <w:sz w:val="20"/>
          <w:szCs w:val="20"/>
        </w:rPr>
        <w:t xml:space="preserve">. </w:t>
      </w:r>
    </w:p>
    <w:p w14:paraId="770C010F" w14:textId="77777777" w:rsidR="006B1B2B" w:rsidRPr="00ED5DCE" w:rsidRDefault="006B1B2B" w:rsidP="006B1B2B">
      <w:pPr>
        <w:pStyle w:val="Virsraksts2"/>
        <w:spacing w:before="240" w:after="240" w:line="240" w:lineRule="auto"/>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t>Lietuvas investīciju kultūrvides attīstībā ietekme - tūrisms</w:t>
      </w:r>
    </w:p>
    <w:p w14:paraId="22919C94" w14:textId="77777777" w:rsidR="006B1B2B" w:rsidRPr="00ED5DCE" w:rsidRDefault="006B1B2B" w:rsidP="006B1B2B">
      <w:pPr>
        <w:jc w:val="both"/>
        <w:rPr>
          <w:rFonts w:ascii="Arial" w:hAnsi="Arial" w:cs="Arial"/>
          <w:sz w:val="20"/>
          <w:szCs w:val="20"/>
        </w:rPr>
      </w:pPr>
      <w:r w:rsidRPr="00ED5DCE">
        <w:rPr>
          <w:rFonts w:ascii="Arial" w:hAnsi="Arial" w:cs="Arial"/>
          <w:sz w:val="20"/>
          <w:szCs w:val="20"/>
        </w:rPr>
        <w:t>ES struktūrfondu ietekme uz kultūrvides attīstību Lietuvā 2007.-2013. gada plānošanas perioda izvērtējuma ziņojumā aplūkoti piecpadsmit atbalstītie projekti un to efektivitāte. Izvērtējums veikts balstoties uz 2016. gada datiem.</w:t>
      </w:r>
    </w:p>
    <w:p w14:paraId="30282CD9" w14:textId="58863F9F" w:rsidR="006B1B2B" w:rsidRPr="00ED5DCE" w:rsidRDefault="00ED5DCE" w:rsidP="00F251DE">
      <w:pPr>
        <w:spacing w:after="0" w:line="276" w:lineRule="auto"/>
        <w:jc w:val="both"/>
        <w:rPr>
          <w:rFonts w:ascii="Arial" w:hAnsi="Arial" w:cs="Arial"/>
          <w:i/>
          <w:sz w:val="18"/>
          <w:szCs w:val="20"/>
        </w:rPr>
      </w:pPr>
      <w:r w:rsidRPr="00ED5DCE">
        <w:rPr>
          <w:rFonts w:ascii="Arial" w:hAnsi="Arial" w:cs="Arial"/>
          <w:i/>
          <w:sz w:val="18"/>
          <w:szCs w:val="20"/>
        </w:rPr>
        <w:t xml:space="preserve">1. tabula. </w:t>
      </w:r>
      <w:r w:rsidR="006B1B2B" w:rsidRPr="00ED5DCE">
        <w:rPr>
          <w:rFonts w:ascii="Arial" w:hAnsi="Arial" w:cs="Arial"/>
          <w:i/>
          <w:sz w:val="18"/>
          <w:szCs w:val="20"/>
        </w:rPr>
        <w:t>Atbalstīto muzeju modernizācijas projektu efektivitāte</w:t>
      </w:r>
      <w:r w:rsidR="001F12CA" w:rsidRPr="00ED5DCE">
        <w:rPr>
          <w:rFonts w:ascii="Arial" w:hAnsi="Arial" w:cs="Arial"/>
          <w:i/>
          <w:sz w:val="18"/>
          <w:szCs w:val="20"/>
        </w:rPr>
        <w:t>.  (</w:t>
      </w:r>
      <w:r w:rsidR="006B1B2B" w:rsidRPr="00ED5DCE">
        <w:rPr>
          <w:rFonts w:ascii="Arial" w:hAnsi="Arial" w:cs="Arial"/>
          <w:i/>
          <w:sz w:val="18"/>
          <w:szCs w:val="20"/>
        </w:rPr>
        <w:t>Avots: ES struktūrfondu ietekmes uz kultūrvides attīstību Lietuvā Eiropas Savienības fondu 2007.-2013. gada plānošanas perioda izvērtējums</w:t>
      </w:r>
      <w:r w:rsidR="006B1B2B" w:rsidRPr="00ED5DCE">
        <w:rPr>
          <w:rFonts w:ascii="Arial" w:hAnsi="Arial" w:cs="Arial"/>
          <w:i/>
          <w:sz w:val="18"/>
          <w:szCs w:val="20"/>
          <w:vertAlign w:val="superscript"/>
        </w:rPr>
        <w:footnoteReference w:id="10"/>
      </w:r>
      <w:r w:rsidR="001F12CA" w:rsidRPr="00ED5DCE">
        <w:rPr>
          <w:rFonts w:ascii="Arial" w:hAnsi="Arial" w:cs="Arial"/>
          <w:i/>
          <w:sz w:val="18"/>
          <w:szCs w:val="20"/>
        </w:rPr>
        <w:t>)</w:t>
      </w:r>
      <w:r w:rsidR="006B1B2B" w:rsidRPr="00ED5DCE">
        <w:rPr>
          <w:rFonts w:ascii="Arial" w:hAnsi="Arial" w:cs="Arial"/>
          <w:i/>
          <w:sz w:val="18"/>
          <w:szCs w:val="20"/>
        </w:rPr>
        <w:t>.</w:t>
      </w:r>
    </w:p>
    <w:tbl>
      <w:tblPr>
        <w:tblStyle w:val="Reatabula"/>
        <w:tblW w:w="0" w:type="auto"/>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2291"/>
        <w:gridCol w:w="2524"/>
        <w:gridCol w:w="1466"/>
        <w:gridCol w:w="1394"/>
        <w:gridCol w:w="1387"/>
      </w:tblGrid>
      <w:tr w:rsidR="00DE5F3C" w:rsidRPr="00F251DE" w14:paraId="22E5EF43" w14:textId="77777777" w:rsidTr="00ED5DCE">
        <w:trPr>
          <w:trHeight w:val="1266"/>
          <w:tblHeader/>
          <w:jc w:val="center"/>
        </w:trPr>
        <w:tc>
          <w:tcPr>
            <w:tcW w:w="2291" w:type="dxa"/>
            <w:noWrap/>
            <w:vAlign w:val="center"/>
            <w:hideMark/>
          </w:tcPr>
          <w:p w14:paraId="104D467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Projekta kods</w:t>
            </w:r>
          </w:p>
        </w:tc>
        <w:tc>
          <w:tcPr>
            <w:tcW w:w="2524" w:type="dxa"/>
            <w:noWrap/>
            <w:vAlign w:val="center"/>
            <w:hideMark/>
          </w:tcPr>
          <w:p w14:paraId="7F942D1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Projekta nosaukums</w:t>
            </w:r>
          </w:p>
        </w:tc>
        <w:tc>
          <w:tcPr>
            <w:tcW w:w="1466" w:type="dxa"/>
            <w:vAlign w:val="center"/>
            <w:hideMark/>
          </w:tcPr>
          <w:p w14:paraId="72920B70"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Kopējais finansējums (tūkstošos EUR)</w:t>
            </w:r>
          </w:p>
        </w:tc>
        <w:tc>
          <w:tcPr>
            <w:tcW w:w="1394" w:type="dxa"/>
            <w:vAlign w:val="center"/>
            <w:hideMark/>
          </w:tcPr>
          <w:p w14:paraId="67CDCA4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Piesaistīto apmeklētāju skaits 2 - 3 gadu laikā pēc projekta īstenošanas</w:t>
            </w:r>
          </w:p>
        </w:tc>
        <w:tc>
          <w:tcPr>
            <w:tcW w:w="1387" w:type="dxa"/>
            <w:vAlign w:val="center"/>
            <w:hideMark/>
          </w:tcPr>
          <w:p w14:paraId="5CD6436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Vidējais ES ieguldījums uz vienu apmeklētāju (EUR)</w:t>
            </w:r>
          </w:p>
        </w:tc>
      </w:tr>
      <w:tr w:rsidR="00DE5F3C" w:rsidRPr="00F251DE" w14:paraId="480E4145" w14:textId="77777777" w:rsidTr="00ED5DCE">
        <w:trPr>
          <w:trHeight w:val="600"/>
          <w:tblHeader/>
          <w:jc w:val="center"/>
        </w:trPr>
        <w:tc>
          <w:tcPr>
            <w:tcW w:w="2291" w:type="dxa"/>
            <w:noWrap/>
            <w:hideMark/>
          </w:tcPr>
          <w:p w14:paraId="6A18B36E"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VP3-1.3-ŪM-02-V-01-046</w:t>
            </w:r>
          </w:p>
        </w:tc>
        <w:tc>
          <w:tcPr>
            <w:tcW w:w="2524" w:type="dxa"/>
            <w:hideMark/>
          </w:tcPr>
          <w:p w14:paraId="50A877D9"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Kretingas muižas pieminekļu renovācija un tās pielāgošana tūrisma attīstībai</w:t>
            </w:r>
          </w:p>
        </w:tc>
        <w:tc>
          <w:tcPr>
            <w:tcW w:w="1466" w:type="dxa"/>
            <w:noWrap/>
            <w:vAlign w:val="center"/>
            <w:hideMark/>
          </w:tcPr>
          <w:p w14:paraId="6A0AA77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1 428</w:t>
            </w:r>
          </w:p>
        </w:tc>
        <w:tc>
          <w:tcPr>
            <w:tcW w:w="1394" w:type="dxa"/>
            <w:noWrap/>
            <w:vAlign w:val="center"/>
            <w:hideMark/>
          </w:tcPr>
          <w:p w14:paraId="35C7155C"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409 994</w:t>
            </w:r>
          </w:p>
        </w:tc>
        <w:tc>
          <w:tcPr>
            <w:tcW w:w="1387" w:type="dxa"/>
            <w:noWrap/>
            <w:vAlign w:val="center"/>
            <w:hideMark/>
          </w:tcPr>
          <w:p w14:paraId="318B4CC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3,48</w:t>
            </w:r>
          </w:p>
        </w:tc>
      </w:tr>
      <w:tr w:rsidR="00DE5F3C" w:rsidRPr="00F251DE" w14:paraId="1C2EEA88" w14:textId="77777777" w:rsidTr="00ED5DCE">
        <w:trPr>
          <w:trHeight w:val="300"/>
          <w:tblHeader/>
          <w:jc w:val="center"/>
        </w:trPr>
        <w:tc>
          <w:tcPr>
            <w:tcW w:w="2291" w:type="dxa"/>
            <w:noWrap/>
            <w:hideMark/>
          </w:tcPr>
          <w:p w14:paraId="65EAC403"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VP3-1.3-ŪM-02-V-01-045</w:t>
            </w:r>
          </w:p>
        </w:tc>
        <w:tc>
          <w:tcPr>
            <w:tcW w:w="2524" w:type="dxa"/>
            <w:hideMark/>
          </w:tcPr>
          <w:p w14:paraId="7A6EA005"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Rokišķu muižas (G222K8P) tūrisma programma</w:t>
            </w:r>
          </w:p>
        </w:tc>
        <w:tc>
          <w:tcPr>
            <w:tcW w:w="1466" w:type="dxa"/>
            <w:noWrap/>
            <w:vAlign w:val="center"/>
            <w:hideMark/>
          </w:tcPr>
          <w:p w14:paraId="00FDE677"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386</w:t>
            </w:r>
          </w:p>
        </w:tc>
        <w:tc>
          <w:tcPr>
            <w:tcW w:w="1394" w:type="dxa"/>
            <w:noWrap/>
            <w:vAlign w:val="center"/>
            <w:hideMark/>
          </w:tcPr>
          <w:p w14:paraId="277F2671"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87 877</w:t>
            </w:r>
          </w:p>
        </w:tc>
        <w:tc>
          <w:tcPr>
            <w:tcW w:w="1387" w:type="dxa"/>
            <w:noWrap/>
            <w:vAlign w:val="center"/>
            <w:hideMark/>
          </w:tcPr>
          <w:p w14:paraId="53F2944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4,4</w:t>
            </w:r>
          </w:p>
        </w:tc>
      </w:tr>
      <w:tr w:rsidR="00DE5F3C" w:rsidRPr="00F251DE" w14:paraId="3D697ED5" w14:textId="77777777" w:rsidTr="00ED5DCE">
        <w:trPr>
          <w:trHeight w:val="300"/>
          <w:tblHeader/>
          <w:jc w:val="center"/>
        </w:trPr>
        <w:tc>
          <w:tcPr>
            <w:tcW w:w="2291" w:type="dxa"/>
            <w:noWrap/>
            <w:hideMark/>
          </w:tcPr>
          <w:p w14:paraId="4EE81BE7"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VP3-1.3-ŪM-02-V-01-010</w:t>
            </w:r>
          </w:p>
        </w:tc>
        <w:tc>
          <w:tcPr>
            <w:tcW w:w="2524" w:type="dxa"/>
            <w:hideMark/>
          </w:tcPr>
          <w:p w14:paraId="3983451C"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 xml:space="preserve">V. </w:t>
            </w:r>
            <w:proofErr w:type="spellStart"/>
            <w:r w:rsidRPr="00F251DE">
              <w:rPr>
                <w:rFonts w:ascii="Arial" w:hAnsi="Arial" w:cs="Arial"/>
                <w:sz w:val="18"/>
                <w:szCs w:val="18"/>
              </w:rPr>
              <w:t>Into</w:t>
            </w:r>
            <w:proofErr w:type="spellEnd"/>
            <w:r w:rsidRPr="00F251DE">
              <w:rPr>
                <w:rFonts w:ascii="Arial" w:hAnsi="Arial" w:cs="Arial"/>
                <w:sz w:val="18"/>
                <w:szCs w:val="18"/>
              </w:rPr>
              <w:t xml:space="preserve"> akmens muzeja projekta izstrāde</w:t>
            </w:r>
          </w:p>
        </w:tc>
        <w:tc>
          <w:tcPr>
            <w:tcW w:w="1466" w:type="dxa"/>
            <w:noWrap/>
            <w:vAlign w:val="center"/>
            <w:hideMark/>
          </w:tcPr>
          <w:p w14:paraId="7BFF14F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169</w:t>
            </w:r>
          </w:p>
        </w:tc>
        <w:tc>
          <w:tcPr>
            <w:tcW w:w="1394" w:type="dxa"/>
            <w:noWrap/>
            <w:vAlign w:val="center"/>
            <w:hideMark/>
          </w:tcPr>
          <w:p w14:paraId="03D53B9B"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36 183</w:t>
            </w:r>
          </w:p>
        </w:tc>
        <w:tc>
          <w:tcPr>
            <w:tcW w:w="1387" w:type="dxa"/>
            <w:noWrap/>
            <w:vAlign w:val="center"/>
            <w:hideMark/>
          </w:tcPr>
          <w:p w14:paraId="265C4901"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4,67</w:t>
            </w:r>
          </w:p>
        </w:tc>
      </w:tr>
      <w:tr w:rsidR="00DE5F3C" w:rsidRPr="00F251DE" w14:paraId="2D7B7D32" w14:textId="77777777" w:rsidTr="00ED5DCE">
        <w:trPr>
          <w:trHeight w:val="300"/>
          <w:tblHeader/>
          <w:jc w:val="center"/>
        </w:trPr>
        <w:tc>
          <w:tcPr>
            <w:tcW w:w="2291" w:type="dxa"/>
            <w:noWrap/>
            <w:hideMark/>
          </w:tcPr>
          <w:p w14:paraId="1333988F"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VP3-1.3-ŪM-02-V-01-019</w:t>
            </w:r>
          </w:p>
        </w:tc>
        <w:tc>
          <w:tcPr>
            <w:tcW w:w="2524" w:type="dxa"/>
            <w:hideMark/>
          </w:tcPr>
          <w:p w14:paraId="3D705DFF"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Viļņas Universitātes arhitektūras ansamblis</w:t>
            </w:r>
          </w:p>
        </w:tc>
        <w:tc>
          <w:tcPr>
            <w:tcW w:w="1466" w:type="dxa"/>
            <w:noWrap/>
            <w:vAlign w:val="center"/>
            <w:hideMark/>
          </w:tcPr>
          <w:p w14:paraId="1AD2D46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1 368</w:t>
            </w:r>
          </w:p>
        </w:tc>
        <w:tc>
          <w:tcPr>
            <w:tcW w:w="1394" w:type="dxa"/>
            <w:noWrap/>
            <w:vAlign w:val="center"/>
            <w:hideMark/>
          </w:tcPr>
          <w:p w14:paraId="252A77C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145 649</w:t>
            </w:r>
          </w:p>
        </w:tc>
        <w:tc>
          <w:tcPr>
            <w:tcW w:w="1387" w:type="dxa"/>
            <w:noWrap/>
            <w:vAlign w:val="center"/>
            <w:hideMark/>
          </w:tcPr>
          <w:p w14:paraId="69423F18"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9,39</w:t>
            </w:r>
          </w:p>
        </w:tc>
      </w:tr>
      <w:tr w:rsidR="00DE5F3C" w:rsidRPr="00F251DE" w14:paraId="16274567" w14:textId="77777777" w:rsidTr="00ED5DCE">
        <w:trPr>
          <w:trHeight w:val="600"/>
          <w:tblHeader/>
          <w:jc w:val="center"/>
        </w:trPr>
        <w:tc>
          <w:tcPr>
            <w:tcW w:w="2291" w:type="dxa"/>
            <w:noWrap/>
            <w:hideMark/>
          </w:tcPr>
          <w:p w14:paraId="757EBC34"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VP3-1.3-ŪM-02-V-01-030</w:t>
            </w:r>
          </w:p>
        </w:tc>
        <w:tc>
          <w:tcPr>
            <w:tcW w:w="2524" w:type="dxa"/>
            <w:hideMark/>
          </w:tcPr>
          <w:p w14:paraId="1A071D51"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Baubliai</w:t>
            </w:r>
            <w:proofErr w:type="spellEnd"/>
            <w:r w:rsidRPr="00F251DE">
              <w:rPr>
                <w:rFonts w:ascii="Arial" w:hAnsi="Arial" w:cs="Arial"/>
                <w:sz w:val="18"/>
                <w:szCs w:val="18"/>
              </w:rPr>
              <w:t xml:space="preserve"> muižas mājas kompleksa izmantošana tūrismam</w:t>
            </w:r>
          </w:p>
        </w:tc>
        <w:tc>
          <w:tcPr>
            <w:tcW w:w="1466" w:type="dxa"/>
            <w:noWrap/>
            <w:vAlign w:val="center"/>
            <w:hideMark/>
          </w:tcPr>
          <w:p w14:paraId="1DFC5AC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981</w:t>
            </w:r>
          </w:p>
        </w:tc>
        <w:tc>
          <w:tcPr>
            <w:tcW w:w="1394" w:type="dxa"/>
            <w:noWrap/>
            <w:vAlign w:val="center"/>
            <w:hideMark/>
          </w:tcPr>
          <w:p w14:paraId="75347B6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66 180</w:t>
            </w:r>
          </w:p>
        </w:tc>
        <w:tc>
          <w:tcPr>
            <w:tcW w:w="1387" w:type="dxa"/>
            <w:noWrap/>
            <w:vAlign w:val="center"/>
            <w:hideMark/>
          </w:tcPr>
          <w:p w14:paraId="796E43A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14,82</w:t>
            </w:r>
          </w:p>
        </w:tc>
      </w:tr>
      <w:tr w:rsidR="00DE5F3C" w:rsidRPr="00F251DE" w14:paraId="51D66D17" w14:textId="77777777" w:rsidTr="00ED5DCE">
        <w:trPr>
          <w:trHeight w:val="900"/>
          <w:tblHeader/>
          <w:jc w:val="center"/>
        </w:trPr>
        <w:tc>
          <w:tcPr>
            <w:tcW w:w="2291" w:type="dxa"/>
            <w:noWrap/>
            <w:hideMark/>
          </w:tcPr>
          <w:p w14:paraId="7B9E3623"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VP3-1.3-ŪM-02-V-01-038</w:t>
            </w:r>
          </w:p>
        </w:tc>
        <w:tc>
          <w:tcPr>
            <w:tcW w:w="2524" w:type="dxa"/>
            <w:hideMark/>
          </w:tcPr>
          <w:p w14:paraId="7F8FE5FB"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Palangas Dzintara muzeja restaurācija un tās pielāgošana mūsdienu kultūras tūrisma vajadzībām</w:t>
            </w:r>
          </w:p>
        </w:tc>
        <w:tc>
          <w:tcPr>
            <w:tcW w:w="1466" w:type="dxa"/>
            <w:noWrap/>
            <w:vAlign w:val="center"/>
            <w:hideMark/>
          </w:tcPr>
          <w:p w14:paraId="4E76C56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814</w:t>
            </w:r>
          </w:p>
        </w:tc>
        <w:tc>
          <w:tcPr>
            <w:tcW w:w="1394" w:type="dxa"/>
            <w:noWrap/>
            <w:vAlign w:val="center"/>
            <w:hideMark/>
          </w:tcPr>
          <w:p w14:paraId="3D7F8D3B"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37 750</w:t>
            </w:r>
          </w:p>
        </w:tc>
        <w:tc>
          <w:tcPr>
            <w:tcW w:w="1387" w:type="dxa"/>
            <w:noWrap/>
            <w:vAlign w:val="center"/>
            <w:hideMark/>
          </w:tcPr>
          <w:p w14:paraId="6159EC98"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21,57</w:t>
            </w:r>
          </w:p>
        </w:tc>
      </w:tr>
      <w:tr w:rsidR="00DE5F3C" w:rsidRPr="00F251DE" w14:paraId="0581EFC5" w14:textId="77777777" w:rsidTr="00ED5DCE">
        <w:trPr>
          <w:trHeight w:val="300"/>
          <w:tblHeader/>
          <w:jc w:val="center"/>
        </w:trPr>
        <w:tc>
          <w:tcPr>
            <w:tcW w:w="2291" w:type="dxa"/>
            <w:noWrap/>
            <w:hideMark/>
          </w:tcPr>
          <w:p w14:paraId="2A23FE72"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VP3-1.3-ŪM-02-V-01-005</w:t>
            </w:r>
          </w:p>
        </w:tc>
        <w:tc>
          <w:tcPr>
            <w:tcW w:w="2524" w:type="dxa"/>
            <w:hideMark/>
          </w:tcPr>
          <w:p w14:paraId="41E53541"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Jurbarkas</w:t>
            </w:r>
            <w:proofErr w:type="spellEnd"/>
            <w:r w:rsidRPr="00F251DE">
              <w:rPr>
                <w:rFonts w:ascii="Arial" w:hAnsi="Arial" w:cs="Arial"/>
                <w:sz w:val="18"/>
                <w:szCs w:val="18"/>
              </w:rPr>
              <w:t xml:space="preserve"> muižas parka ēku izbūve</w:t>
            </w:r>
          </w:p>
        </w:tc>
        <w:tc>
          <w:tcPr>
            <w:tcW w:w="1466" w:type="dxa"/>
            <w:noWrap/>
            <w:vAlign w:val="center"/>
            <w:hideMark/>
          </w:tcPr>
          <w:p w14:paraId="1138D04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590</w:t>
            </w:r>
          </w:p>
        </w:tc>
        <w:tc>
          <w:tcPr>
            <w:tcW w:w="1394" w:type="dxa"/>
            <w:noWrap/>
            <w:vAlign w:val="center"/>
            <w:hideMark/>
          </w:tcPr>
          <w:p w14:paraId="4B9B59E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19 850</w:t>
            </w:r>
          </w:p>
        </w:tc>
        <w:tc>
          <w:tcPr>
            <w:tcW w:w="1387" w:type="dxa"/>
            <w:noWrap/>
            <w:vAlign w:val="center"/>
            <w:hideMark/>
          </w:tcPr>
          <w:p w14:paraId="21D50DD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29,77</w:t>
            </w:r>
          </w:p>
        </w:tc>
      </w:tr>
      <w:tr w:rsidR="00DE5F3C" w:rsidRPr="00F251DE" w14:paraId="0ACAD580" w14:textId="77777777" w:rsidTr="00ED5DCE">
        <w:trPr>
          <w:trHeight w:val="300"/>
          <w:tblHeader/>
          <w:jc w:val="center"/>
        </w:trPr>
        <w:tc>
          <w:tcPr>
            <w:tcW w:w="2291" w:type="dxa"/>
            <w:noWrap/>
            <w:hideMark/>
          </w:tcPr>
          <w:p w14:paraId="64D7FE2E"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VP3-1.3-ŪM-02-V-01-011</w:t>
            </w:r>
          </w:p>
        </w:tc>
        <w:tc>
          <w:tcPr>
            <w:tcW w:w="2524" w:type="dxa"/>
            <w:hideMark/>
          </w:tcPr>
          <w:p w14:paraId="4D3F0B98"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Renatu</w:t>
            </w:r>
            <w:proofErr w:type="spellEnd"/>
            <w:r w:rsidRPr="00F251DE">
              <w:rPr>
                <w:rFonts w:ascii="Arial" w:hAnsi="Arial" w:cs="Arial"/>
                <w:sz w:val="18"/>
                <w:szCs w:val="18"/>
              </w:rPr>
              <w:t xml:space="preserve"> muižas ēkas izbūve tūrisma vajadzībām</w:t>
            </w:r>
          </w:p>
        </w:tc>
        <w:tc>
          <w:tcPr>
            <w:tcW w:w="1466" w:type="dxa"/>
            <w:noWrap/>
            <w:vAlign w:val="center"/>
            <w:hideMark/>
          </w:tcPr>
          <w:p w14:paraId="06AC9AB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501</w:t>
            </w:r>
          </w:p>
        </w:tc>
        <w:tc>
          <w:tcPr>
            <w:tcW w:w="1394" w:type="dxa"/>
            <w:noWrap/>
            <w:vAlign w:val="center"/>
            <w:hideMark/>
          </w:tcPr>
          <w:p w14:paraId="26B91A4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13 976</w:t>
            </w:r>
          </w:p>
        </w:tc>
        <w:tc>
          <w:tcPr>
            <w:tcW w:w="1387" w:type="dxa"/>
            <w:noWrap/>
            <w:vAlign w:val="center"/>
            <w:hideMark/>
          </w:tcPr>
          <w:p w14:paraId="2632ED6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35,9</w:t>
            </w:r>
          </w:p>
        </w:tc>
      </w:tr>
      <w:tr w:rsidR="00DE5F3C" w:rsidRPr="00F251DE" w14:paraId="4060AE3F" w14:textId="77777777" w:rsidTr="00ED5DCE">
        <w:trPr>
          <w:trHeight w:val="600"/>
          <w:tblHeader/>
          <w:jc w:val="center"/>
        </w:trPr>
        <w:tc>
          <w:tcPr>
            <w:tcW w:w="2291" w:type="dxa"/>
            <w:noWrap/>
            <w:hideMark/>
          </w:tcPr>
          <w:p w14:paraId="226D48BF"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VP3-1.3-ŪM-02-V-01-042</w:t>
            </w:r>
          </w:p>
        </w:tc>
        <w:tc>
          <w:tcPr>
            <w:tcW w:w="2524" w:type="dxa"/>
            <w:hideMark/>
          </w:tcPr>
          <w:p w14:paraId="558C9888"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Tauragė</w:t>
            </w:r>
            <w:proofErr w:type="spellEnd"/>
            <w:r w:rsidRPr="00F251DE">
              <w:rPr>
                <w:rFonts w:ascii="Arial" w:hAnsi="Arial" w:cs="Arial"/>
                <w:sz w:val="18"/>
                <w:szCs w:val="18"/>
              </w:rPr>
              <w:t xml:space="preserve"> pils ēku ansambļa adaptācija kultūras un tūrisma mērķiem</w:t>
            </w:r>
          </w:p>
        </w:tc>
        <w:tc>
          <w:tcPr>
            <w:tcW w:w="1466" w:type="dxa"/>
            <w:noWrap/>
            <w:vAlign w:val="center"/>
            <w:hideMark/>
          </w:tcPr>
          <w:p w14:paraId="0DC48EB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817</w:t>
            </w:r>
          </w:p>
        </w:tc>
        <w:tc>
          <w:tcPr>
            <w:tcW w:w="1394" w:type="dxa"/>
            <w:noWrap/>
            <w:vAlign w:val="center"/>
            <w:hideMark/>
          </w:tcPr>
          <w:p w14:paraId="48A4FA1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15 680</w:t>
            </w:r>
          </w:p>
        </w:tc>
        <w:tc>
          <w:tcPr>
            <w:tcW w:w="1387" w:type="dxa"/>
            <w:noWrap/>
            <w:vAlign w:val="center"/>
            <w:hideMark/>
          </w:tcPr>
          <w:p w14:paraId="7C1B5A3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52,1</w:t>
            </w:r>
          </w:p>
        </w:tc>
      </w:tr>
      <w:tr w:rsidR="00DE5F3C" w:rsidRPr="00F251DE" w14:paraId="1433D1B7" w14:textId="77777777" w:rsidTr="00ED5DCE">
        <w:trPr>
          <w:trHeight w:val="300"/>
          <w:tblHeader/>
          <w:jc w:val="center"/>
        </w:trPr>
        <w:tc>
          <w:tcPr>
            <w:tcW w:w="2291" w:type="dxa"/>
            <w:noWrap/>
            <w:hideMark/>
          </w:tcPr>
          <w:p w14:paraId="58097EA0"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VP3-1.3-ŪM-02-V-01-020</w:t>
            </w:r>
          </w:p>
        </w:tc>
        <w:tc>
          <w:tcPr>
            <w:tcW w:w="2524" w:type="dxa"/>
            <w:hideMark/>
          </w:tcPr>
          <w:p w14:paraId="7F4BB4DC"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Medininkai</w:t>
            </w:r>
            <w:proofErr w:type="spellEnd"/>
            <w:r w:rsidRPr="00F251DE">
              <w:rPr>
                <w:rFonts w:ascii="Arial" w:hAnsi="Arial" w:cs="Arial"/>
                <w:sz w:val="18"/>
                <w:szCs w:val="18"/>
              </w:rPr>
              <w:t xml:space="preserve"> pilskalna adaptācija tūrisma nolūkos</w:t>
            </w:r>
          </w:p>
        </w:tc>
        <w:tc>
          <w:tcPr>
            <w:tcW w:w="1466" w:type="dxa"/>
            <w:noWrap/>
            <w:vAlign w:val="center"/>
            <w:hideMark/>
          </w:tcPr>
          <w:p w14:paraId="16665BF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2 317</w:t>
            </w:r>
          </w:p>
        </w:tc>
        <w:tc>
          <w:tcPr>
            <w:tcW w:w="1394" w:type="dxa"/>
            <w:noWrap/>
            <w:vAlign w:val="center"/>
            <w:hideMark/>
          </w:tcPr>
          <w:p w14:paraId="6FE349A1"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30 754</w:t>
            </w:r>
          </w:p>
        </w:tc>
        <w:tc>
          <w:tcPr>
            <w:tcW w:w="1387" w:type="dxa"/>
            <w:noWrap/>
            <w:vAlign w:val="center"/>
            <w:hideMark/>
          </w:tcPr>
          <w:p w14:paraId="7D8C8E16"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75,35</w:t>
            </w:r>
          </w:p>
        </w:tc>
      </w:tr>
      <w:tr w:rsidR="00DE5F3C" w:rsidRPr="00F251DE" w14:paraId="197E49F3" w14:textId="77777777" w:rsidTr="00ED5DCE">
        <w:trPr>
          <w:trHeight w:val="600"/>
          <w:tblHeader/>
          <w:jc w:val="center"/>
        </w:trPr>
        <w:tc>
          <w:tcPr>
            <w:tcW w:w="2291" w:type="dxa"/>
            <w:noWrap/>
            <w:hideMark/>
          </w:tcPr>
          <w:p w14:paraId="2301065D"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VP3-1.3-ŪM-02-V-01-023</w:t>
            </w:r>
          </w:p>
        </w:tc>
        <w:tc>
          <w:tcPr>
            <w:tcW w:w="2524" w:type="dxa"/>
            <w:hideMark/>
          </w:tcPr>
          <w:p w14:paraId="795DF00E"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Traķu pussalas pils kompleksa pārbūve tūrisma vajadzībām</w:t>
            </w:r>
          </w:p>
        </w:tc>
        <w:tc>
          <w:tcPr>
            <w:tcW w:w="1466" w:type="dxa"/>
            <w:noWrap/>
            <w:vAlign w:val="center"/>
            <w:hideMark/>
          </w:tcPr>
          <w:p w14:paraId="23CF33DC"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2 207</w:t>
            </w:r>
          </w:p>
        </w:tc>
        <w:tc>
          <w:tcPr>
            <w:tcW w:w="1394" w:type="dxa"/>
            <w:noWrap/>
            <w:vAlign w:val="center"/>
            <w:hideMark/>
          </w:tcPr>
          <w:p w14:paraId="5F05529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11 237</w:t>
            </w:r>
          </w:p>
        </w:tc>
        <w:tc>
          <w:tcPr>
            <w:tcW w:w="1387" w:type="dxa"/>
            <w:noWrap/>
            <w:vAlign w:val="center"/>
            <w:hideMark/>
          </w:tcPr>
          <w:p w14:paraId="6A3F4D1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196,42</w:t>
            </w:r>
          </w:p>
        </w:tc>
      </w:tr>
      <w:tr w:rsidR="00DE5F3C" w:rsidRPr="00F251DE" w14:paraId="5E5583A3" w14:textId="77777777" w:rsidTr="00ED5DCE">
        <w:trPr>
          <w:trHeight w:val="600"/>
          <w:tblHeader/>
          <w:jc w:val="center"/>
        </w:trPr>
        <w:tc>
          <w:tcPr>
            <w:tcW w:w="2291" w:type="dxa"/>
            <w:noWrap/>
            <w:hideMark/>
          </w:tcPr>
          <w:p w14:paraId="1CE79EC9"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VP3-1.3-ŪM-05-R-71-001</w:t>
            </w:r>
          </w:p>
        </w:tc>
        <w:tc>
          <w:tcPr>
            <w:tcW w:w="2524" w:type="dxa"/>
            <w:hideMark/>
          </w:tcPr>
          <w:p w14:paraId="7CC33EA3"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Jurbarkas</w:t>
            </w:r>
            <w:proofErr w:type="spellEnd"/>
            <w:r w:rsidRPr="00F251DE">
              <w:rPr>
                <w:rFonts w:ascii="Arial" w:hAnsi="Arial" w:cs="Arial"/>
                <w:sz w:val="18"/>
                <w:szCs w:val="18"/>
              </w:rPr>
              <w:t xml:space="preserve"> reģionālās muzeja ekspozīcija izveide kultūras tūrisma piesaistei</w:t>
            </w:r>
          </w:p>
        </w:tc>
        <w:tc>
          <w:tcPr>
            <w:tcW w:w="1466" w:type="dxa"/>
            <w:noWrap/>
            <w:vAlign w:val="center"/>
            <w:hideMark/>
          </w:tcPr>
          <w:p w14:paraId="6946E734"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146</w:t>
            </w:r>
          </w:p>
        </w:tc>
        <w:tc>
          <w:tcPr>
            <w:tcW w:w="1394" w:type="dxa"/>
            <w:noWrap/>
            <w:vAlign w:val="center"/>
            <w:hideMark/>
          </w:tcPr>
          <w:p w14:paraId="6020969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19 129</w:t>
            </w:r>
          </w:p>
        </w:tc>
        <w:tc>
          <w:tcPr>
            <w:tcW w:w="1387" w:type="dxa"/>
            <w:noWrap/>
            <w:vAlign w:val="center"/>
            <w:hideMark/>
          </w:tcPr>
          <w:p w14:paraId="5D3F3EB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7,66</w:t>
            </w:r>
          </w:p>
        </w:tc>
      </w:tr>
      <w:tr w:rsidR="00DE5F3C" w:rsidRPr="00F251DE" w14:paraId="16C03A29" w14:textId="77777777" w:rsidTr="00ED5DCE">
        <w:trPr>
          <w:trHeight w:val="600"/>
          <w:tblHeader/>
          <w:jc w:val="center"/>
        </w:trPr>
        <w:tc>
          <w:tcPr>
            <w:tcW w:w="2291" w:type="dxa"/>
            <w:noWrap/>
            <w:hideMark/>
          </w:tcPr>
          <w:p w14:paraId="11A7F4E9"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VP3-1.3-ŪM-05-R-41-004</w:t>
            </w:r>
          </w:p>
        </w:tc>
        <w:tc>
          <w:tcPr>
            <w:tcW w:w="2524" w:type="dxa"/>
            <w:hideMark/>
          </w:tcPr>
          <w:p w14:paraId="736B4950"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Vilkaviškio</w:t>
            </w:r>
            <w:proofErr w:type="spellEnd"/>
            <w:r w:rsidRPr="00F251DE">
              <w:rPr>
                <w:rFonts w:ascii="Arial" w:hAnsi="Arial" w:cs="Arial"/>
                <w:sz w:val="18"/>
                <w:szCs w:val="18"/>
              </w:rPr>
              <w:t xml:space="preserve"> rajona </w:t>
            </w:r>
            <w:proofErr w:type="spellStart"/>
            <w:r w:rsidRPr="00F251DE">
              <w:rPr>
                <w:rFonts w:ascii="Arial" w:hAnsi="Arial" w:cs="Arial"/>
                <w:sz w:val="18"/>
                <w:szCs w:val="18"/>
              </w:rPr>
              <w:t>Paežerių</w:t>
            </w:r>
            <w:proofErr w:type="spellEnd"/>
            <w:r w:rsidRPr="00F251DE">
              <w:rPr>
                <w:rFonts w:ascii="Arial" w:hAnsi="Arial" w:cs="Arial"/>
                <w:sz w:val="18"/>
                <w:szCs w:val="18"/>
              </w:rPr>
              <w:t xml:space="preserve"> muižas noliktavas rekonstrukcija un pielāgošana tūrisma attīstībai</w:t>
            </w:r>
          </w:p>
        </w:tc>
        <w:tc>
          <w:tcPr>
            <w:tcW w:w="1466" w:type="dxa"/>
            <w:noWrap/>
            <w:vAlign w:val="center"/>
            <w:hideMark/>
          </w:tcPr>
          <w:p w14:paraId="75E86484"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293</w:t>
            </w:r>
          </w:p>
        </w:tc>
        <w:tc>
          <w:tcPr>
            <w:tcW w:w="1394" w:type="dxa"/>
            <w:noWrap/>
            <w:vAlign w:val="center"/>
            <w:hideMark/>
          </w:tcPr>
          <w:p w14:paraId="6F650FD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19 320</w:t>
            </w:r>
          </w:p>
        </w:tc>
        <w:tc>
          <w:tcPr>
            <w:tcW w:w="1387" w:type="dxa"/>
            <w:noWrap/>
            <w:vAlign w:val="center"/>
            <w:hideMark/>
          </w:tcPr>
          <w:p w14:paraId="131E917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15,18</w:t>
            </w:r>
          </w:p>
        </w:tc>
      </w:tr>
      <w:tr w:rsidR="00DE5F3C" w:rsidRPr="00F251DE" w14:paraId="18EC6FD1" w14:textId="77777777" w:rsidTr="00ED5DCE">
        <w:trPr>
          <w:trHeight w:val="600"/>
          <w:tblHeader/>
          <w:jc w:val="center"/>
        </w:trPr>
        <w:tc>
          <w:tcPr>
            <w:tcW w:w="2291" w:type="dxa"/>
            <w:noWrap/>
            <w:hideMark/>
          </w:tcPr>
          <w:p w14:paraId="6783F0E3"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VP3-1.3-ŪM-05-R-81-003</w:t>
            </w:r>
          </w:p>
        </w:tc>
        <w:tc>
          <w:tcPr>
            <w:tcW w:w="2524" w:type="dxa"/>
            <w:hideMark/>
          </w:tcPr>
          <w:p w14:paraId="4BBD24EF"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Bukantes</w:t>
            </w:r>
            <w:proofErr w:type="spellEnd"/>
            <w:r w:rsidRPr="00F251DE">
              <w:rPr>
                <w:rFonts w:ascii="Arial" w:hAnsi="Arial" w:cs="Arial"/>
                <w:sz w:val="18"/>
                <w:szCs w:val="18"/>
              </w:rPr>
              <w:t xml:space="preserve"> muižas restaurācija un tās pielāgošana tūrisma vajadzībām</w:t>
            </w:r>
          </w:p>
        </w:tc>
        <w:tc>
          <w:tcPr>
            <w:tcW w:w="1466" w:type="dxa"/>
            <w:noWrap/>
            <w:vAlign w:val="center"/>
            <w:hideMark/>
          </w:tcPr>
          <w:p w14:paraId="323EB0F4"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519</w:t>
            </w:r>
          </w:p>
        </w:tc>
        <w:tc>
          <w:tcPr>
            <w:tcW w:w="1394" w:type="dxa"/>
            <w:noWrap/>
            <w:vAlign w:val="center"/>
            <w:hideMark/>
          </w:tcPr>
          <w:p w14:paraId="2A17491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15 890</w:t>
            </w:r>
          </w:p>
        </w:tc>
        <w:tc>
          <w:tcPr>
            <w:tcW w:w="1387" w:type="dxa"/>
            <w:noWrap/>
            <w:vAlign w:val="center"/>
            <w:hideMark/>
          </w:tcPr>
          <w:p w14:paraId="5A5C105C"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32,72</w:t>
            </w:r>
          </w:p>
        </w:tc>
      </w:tr>
      <w:tr w:rsidR="00DE5F3C" w:rsidRPr="00F251DE" w14:paraId="3D320677" w14:textId="77777777" w:rsidTr="00ED5DCE">
        <w:trPr>
          <w:trHeight w:val="600"/>
          <w:tblHeader/>
          <w:jc w:val="center"/>
        </w:trPr>
        <w:tc>
          <w:tcPr>
            <w:tcW w:w="2291" w:type="dxa"/>
            <w:noWrap/>
            <w:hideMark/>
          </w:tcPr>
          <w:p w14:paraId="418A68F6"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lastRenderedPageBreak/>
              <w:t>VP3-1.3-ŪM-05-R-61-001</w:t>
            </w:r>
          </w:p>
        </w:tc>
        <w:tc>
          <w:tcPr>
            <w:tcW w:w="2524" w:type="dxa"/>
            <w:hideMark/>
          </w:tcPr>
          <w:p w14:paraId="75E97C81"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Užvenčio</w:t>
            </w:r>
            <w:proofErr w:type="spellEnd"/>
            <w:r w:rsidRPr="00F251DE">
              <w:rPr>
                <w:rFonts w:ascii="Arial" w:hAnsi="Arial" w:cs="Arial"/>
                <w:sz w:val="18"/>
                <w:szCs w:val="18"/>
              </w:rPr>
              <w:t xml:space="preserve"> muzeja restaurācija un tās pielāgošana kultūras tūrisma mērķiem</w:t>
            </w:r>
          </w:p>
        </w:tc>
        <w:tc>
          <w:tcPr>
            <w:tcW w:w="1466" w:type="dxa"/>
            <w:noWrap/>
            <w:vAlign w:val="center"/>
            <w:hideMark/>
          </w:tcPr>
          <w:p w14:paraId="195A6A96"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274</w:t>
            </w:r>
          </w:p>
        </w:tc>
        <w:tc>
          <w:tcPr>
            <w:tcW w:w="1394" w:type="dxa"/>
            <w:noWrap/>
            <w:vAlign w:val="center"/>
            <w:hideMark/>
          </w:tcPr>
          <w:p w14:paraId="3CB7AA93"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1 921</w:t>
            </w:r>
          </w:p>
        </w:tc>
        <w:tc>
          <w:tcPr>
            <w:tcW w:w="1387" w:type="dxa"/>
            <w:noWrap/>
            <w:vAlign w:val="center"/>
            <w:hideMark/>
          </w:tcPr>
          <w:p w14:paraId="6D179813"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143,09</w:t>
            </w:r>
          </w:p>
        </w:tc>
      </w:tr>
    </w:tbl>
    <w:p w14:paraId="432EDCEB" w14:textId="77777777" w:rsidR="006B1B2B" w:rsidRPr="00ED5DCE" w:rsidRDefault="006B1B2B" w:rsidP="006B1B2B">
      <w:pPr>
        <w:jc w:val="both"/>
        <w:rPr>
          <w:rFonts w:ascii="Arial" w:hAnsi="Arial" w:cs="Arial"/>
          <w:sz w:val="20"/>
          <w:szCs w:val="20"/>
        </w:rPr>
      </w:pPr>
    </w:p>
    <w:p w14:paraId="77DE0D77" w14:textId="77777777" w:rsidR="00576AF4" w:rsidRPr="00ED5DCE" w:rsidRDefault="00576AF4" w:rsidP="006B1B2B">
      <w:pPr>
        <w:pStyle w:val="Virsraksts2"/>
        <w:jc w:val="both"/>
        <w:rPr>
          <w:rFonts w:ascii="Arial" w:hAnsi="Arial" w:cs="Arial"/>
          <w:b/>
          <w:sz w:val="20"/>
          <w:szCs w:val="20"/>
        </w:rPr>
      </w:pPr>
      <w:r w:rsidRPr="00ED5DCE">
        <w:rPr>
          <w:rFonts w:ascii="Arial" w:hAnsi="Arial" w:cs="Arial"/>
          <w:b/>
          <w:sz w:val="20"/>
          <w:szCs w:val="20"/>
        </w:rPr>
        <w:t xml:space="preserve"> </w:t>
      </w:r>
    </w:p>
    <w:sectPr w:rsidR="00576AF4" w:rsidRPr="00ED5DCE" w:rsidSect="00F333AA">
      <w:footerReference w:type="default" r:id="rId10"/>
      <w:pgSz w:w="11906" w:h="16838"/>
      <w:pgMar w:top="680" w:right="1133"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1FEA8" w14:textId="77777777" w:rsidR="00262AE9" w:rsidRDefault="00262AE9" w:rsidP="00576AF4">
      <w:pPr>
        <w:spacing w:after="0" w:line="240" w:lineRule="auto"/>
      </w:pPr>
      <w:r>
        <w:separator/>
      </w:r>
    </w:p>
  </w:endnote>
  <w:endnote w:type="continuationSeparator" w:id="0">
    <w:p w14:paraId="3B59DDBF" w14:textId="77777777" w:rsidR="00262AE9" w:rsidRDefault="00262AE9" w:rsidP="00576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297215"/>
      <w:docPartObj>
        <w:docPartGallery w:val="Page Numbers (Bottom of Page)"/>
        <w:docPartUnique/>
      </w:docPartObj>
    </w:sdtPr>
    <w:sdtEndPr>
      <w:rPr>
        <w:noProof/>
      </w:rPr>
    </w:sdtEndPr>
    <w:sdtContent>
      <w:p w14:paraId="46D33DE2" w14:textId="7FE9302E" w:rsidR="00F333AA" w:rsidRDefault="00F333AA">
        <w:pPr>
          <w:pStyle w:val="Kjene"/>
          <w:jc w:val="right"/>
        </w:pPr>
        <w:r>
          <w:fldChar w:fldCharType="begin"/>
        </w:r>
        <w:r>
          <w:instrText xml:space="preserve"> PAGE   \* MERGEFORMAT </w:instrText>
        </w:r>
        <w:r>
          <w:fldChar w:fldCharType="separate"/>
        </w:r>
        <w:r w:rsidR="004F5123">
          <w:rPr>
            <w:noProof/>
          </w:rPr>
          <w:t>4</w:t>
        </w:r>
        <w:r>
          <w:rPr>
            <w:noProof/>
          </w:rPr>
          <w:fldChar w:fldCharType="end"/>
        </w:r>
      </w:p>
    </w:sdtContent>
  </w:sdt>
  <w:p w14:paraId="51092E05" w14:textId="77777777" w:rsidR="00F333AA" w:rsidRDefault="00F333AA">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9700D" w14:textId="77777777" w:rsidR="00262AE9" w:rsidRDefault="00262AE9" w:rsidP="00576AF4">
      <w:pPr>
        <w:spacing w:after="0" w:line="240" w:lineRule="auto"/>
      </w:pPr>
      <w:r>
        <w:separator/>
      </w:r>
    </w:p>
  </w:footnote>
  <w:footnote w:type="continuationSeparator" w:id="0">
    <w:p w14:paraId="59ACB97C" w14:textId="77777777" w:rsidR="00262AE9" w:rsidRDefault="00262AE9" w:rsidP="00576AF4">
      <w:pPr>
        <w:spacing w:after="0" w:line="240" w:lineRule="auto"/>
      </w:pPr>
      <w:r>
        <w:continuationSeparator/>
      </w:r>
    </w:p>
  </w:footnote>
  <w:footnote w:id="1">
    <w:p w14:paraId="71121865" w14:textId="77777777" w:rsidR="00AF07F8" w:rsidRPr="00ED5DCE" w:rsidRDefault="00AF07F8" w:rsidP="006B1B2B">
      <w:pPr>
        <w:rPr>
          <w:rFonts w:ascii="Arial" w:hAnsi="Arial" w:cs="Arial"/>
          <w:i/>
          <w:color w:val="808080" w:themeColor="background1" w:themeShade="80"/>
          <w:sz w:val="16"/>
          <w:szCs w:val="16"/>
        </w:rPr>
      </w:pPr>
      <w:r w:rsidRPr="00ED5DCE">
        <w:rPr>
          <w:rFonts w:ascii="Arial" w:hAnsi="Arial" w:cs="Arial"/>
          <w:i/>
          <w:color w:val="808080" w:themeColor="background1" w:themeShade="80"/>
          <w:sz w:val="16"/>
          <w:vertAlign w:val="superscript"/>
        </w:rPr>
        <w:footnoteRef/>
      </w:r>
      <w:r w:rsidRPr="00ED5DCE">
        <w:rPr>
          <w:rFonts w:ascii="Arial" w:hAnsi="Arial" w:cs="Arial"/>
          <w:i/>
          <w:color w:val="808080" w:themeColor="background1" w:themeShade="80"/>
          <w:sz w:val="16"/>
          <w:szCs w:val="16"/>
        </w:rPr>
        <w:t xml:space="preserve"> 65 projekti īstenoti  2007. – 2013.gadu perioda Cilvēkresursu attīstības darbības programmas ietvaros; 50 projekti - 2007. – 2013.gadu perioda Ekonomikas izaugsmes rīcības programma ietvaros; 273 projekts - Darbības programma kohēzijas veicināšanai ietvaros un 1 projekts - Tehniskās palīdzības darbības programmas ietvaros.</w:t>
      </w:r>
    </w:p>
    <w:p w14:paraId="5E3ED6FF" w14:textId="77777777" w:rsidR="00AF07F8" w:rsidRPr="001E7B60" w:rsidRDefault="00AF07F8" w:rsidP="006B1B2B">
      <w:pPr>
        <w:pStyle w:val="Vresteksts"/>
      </w:pPr>
    </w:p>
  </w:footnote>
  <w:footnote w:id="2">
    <w:p w14:paraId="2BCADBAA" w14:textId="77777777" w:rsidR="00AF07F8" w:rsidRPr="00DE5F3C" w:rsidRDefault="00AF07F8" w:rsidP="006B1B2B">
      <w:pPr>
        <w:pStyle w:val="Vresteksts"/>
        <w:rPr>
          <w:sz w:val="18"/>
          <w:szCs w:val="18"/>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Eiropas Savienības </w:t>
      </w:r>
      <w:proofErr w:type="spellStart"/>
      <w:r w:rsidRPr="00ED5DCE">
        <w:rPr>
          <w:rFonts w:eastAsiaTheme="minorHAnsi" w:cs="Arial"/>
          <w:i/>
          <w:color w:val="808080" w:themeColor="background1" w:themeShade="80"/>
          <w:sz w:val="16"/>
          <w:szCs w:val="16"/>
          <w:lang w:eastAsia="en-US"/>
        </w:rPr>
        <w:t>struktūrpalīdzības</w:t>
      </w:r>
      <w:proofErr w:type="spellEnd"/>
      <w:r w:rsidRPr="00ED5DCE">
        <w:rPr>
          <w:rFonts w:eastAsiaTheme="minorHAnsi" w:cs="Arial"/>
          <w:i/>
          <w:color w:val="808080" w:themeColor="background1" w:themeShade="80"/>
          <w:sz w:val="16"/>
          <w:szCs w:val="16"/>
          <w:lang w:eastAsia="en-US"/>
        </w:rPr>
        <w:t xml:space="preserve"> ietekmes uz kultūrvides attīstību Lietuvā Eiropas Savienības fondu 2007.-2013. gada plānošanas periodā izvērtējuma ziņojums, 80.lpp</w:t>
      </w:r>
    </w:p>
  </w:footnote>
  <w:footnote w:id="3">
    <w:p w14:paraId="2059D93C"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ES struktūrfondu ietekmes uz kultūrvides attīstību Lietuvā Eiropas Savienības fondu 2007.-2013. gada plānošanas perioda izvērtējums, 47.lpp</w:t>
      </w:r>
    </w:p>
  </w:footnote>
  <w:footnote w:id="4">
    <w:p w14:paraId="31EF896C"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hyperlink r:id="rId1" w:history="1">
        <w:r w:rsidRPr="00ED5DCE">
          <w:rPr>
            <w:rFonts w:eastAsiaTheme="minorHAnsi" w:cs="Arial"/>
            <w:i/>
            <w:color w:val="808080" w:themeColor="background1" w:themeShade="80"/>
            <w:sz w:val="16"/>
            <w:szCs w:val="16"/>
            <w:lang w:eastAsia="en-US"/>
          </w:rPr>
          <w:t>http://www.esinvesticijos.lt/lt/media/download?id=6531&amp;h=fa0ec&amp;t=2016%2010%2013%20ES%20paramos%20kult%C5%ABrai%20vertinimo%20galutin%C4%97%20ataskaita.pdf</w:t>
        </w:r>
      </w:hyperlink>
      <w:r w:rsidRPr="00ED5DCE">
        <w:rPr>
          <w:rFonts w:eastAsiaTheme="minorHAnsi" w:cs="Arial"/>
          <w:i/>
          <w:color w:val="808080" w:themeColor="background1" w:themeShade="80"/>
          <w:sz w:val="16"/>
          <w:szCs w:val="16"/>
          <w:lang w:eastAsia="en-US"/>
        </w:rPr>
        <w:t>, 87.lpp</w:t>
      </w:r>
    </w:p>
  </w:footnote>
  <w:footnote w:id="5">
    <w:p w14:paraId="4D77B7AB"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vertAlign w:val="superscript"/>
          <w:lang w:eastAsia="en-US"/>
        </w:rPr>
        <w:t xml:space="preserve"> </w:t>
      </w:r>
      <w:r w:rsidRPr="00ED5DCE">
        <w:rPr>
          <w:rFonts w:eastAsiaTheme="minorHAnsi" w:cs="Arial"/>
          <w:i/>
          <w:color w:val="808080" w:themeColor="background1" w:themeShade="80"/>
          <w:sz w:val="16"/>
          <w:szCs w:val="16"/>
          <w:lang w:eastAsia="en-US"/>
        </w:rPr>
        <w:t xml:space="preserve">Kultūras statistika, </w:t>
      </w:r>
      <w:hyperlink r:id="rId2" w:history="1">
        <w:r w:rsidRPr="00ED5DCE">
          <w:rPr>
            <w:rFonts w:eastAsiaTheme="minorHAnsi" w:cs="Arial"/>
            <w:i/>
            <w:color w:val="808080" w:themeColor="background1" w:themeShade="80"/>
            <w:sz w:val="16"/>
            <w:szCs w:val="16"/>
            <w:lang w:eastAsia="en-US"/>
          </w:rPr>
          <w:t>https://ec.europa.eu/eurostat/documents/3217494/7551543/KS-04-15-737-EN-N.pdf</w:t>
        </w:r>
      </w:hyperlink>
      <w:r w:rsidRPr="00ED5DCE">
        <w:rPr>
          <w:rFonts w:eastAsiaTheme="minorHAnsi" w:cs="Arial"/>
          <w:i/>
          <w:color w:val="808080" w:themeColor="background1" w:themeShade="80"/>
          <w:sz w:val="16"/>
          <w:szCs w:val="16"/>
          <w:lang w:eastAsia="en-US"/>
        </w:rPr>
        <w:t xml:space="preserve">, </w:t>
      </w:r>
      <w:proofErr w:type="spellStart"/>
      <w:r w:rsidRPr="00ED5DCE">
        <w:rPr>
          <w:rFonts w:eastAsiaTheme="minorHAnsi" w:cs="Arial"/>
          <w:i/>
          <w:color w:val="808080" w:themeColor="background1" w:themeShade="80"/>
          <w:sz w:val="16"/>
          <w:szCs w:val="16"/>
          <w:lang w:eastAsia="en-US"/>
        </w:rPr>
        <w:t>Eurostat</w:t>
      </w:r>
      <w:proofErr w:type="spellEnd"/>
      <w:r w:rsidRPr="00ED5DCE">
        <w:rPr>
          <w:rFonts w:eastAsiaTheme="minorHAnsi" w:cs="Arial"/>
          <w:i/>
          <w:color w:val="808080" w:themeColor="background1" w:themeShade="80"/>
          <w:sz w:val="16"/>
          <w:szCs w:val="16"/>
          <w:lang w:eastAsia="en-US"/>
        </w:rPr>
        <w:t xml:space="preserve"> 2016. gada izdevums</w:t>
      </w:r>
    </w:p>
  </w:footnote>
  <w:footnote w:id="6">
    <w:p w14:paraId="04CE073F"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Eiropas Savienības </w:t>
      </w:r>
      <w:proofErr w:type="spellStart"/>
      <w:r w:rsidRPr="00ED5DCE">
        <w:rPr>
          <w:rFonts w:eastAsiaTheme="minorHAnsi" w:cs="Arial"/>
          <w:i/>
          <w:color w:val="808080" w:themeColor="background1" w:themeShade="80"/>
          <w:sz w:val="16"/>
          <w:szCs w:val="16"/>
          <w:lang w:eastAsia="en-US"/>
        </w:rPr>
        <w:t>struktūrpalīdzības</w:t>
      </w:r>
      <w:proofErr w:type="spellEnd"/>
      <w:r w:rsidRPr="00ED5DCE">
        <w:rPr>
          <w:rFonts w:eastAsiaTheme="minorHAnsi" w:cs="Arial"/>
          <w:i/>
          <w:color w:val="808080" w:themeColor="background1" w:themeShade="80"/>
          <w:sz w:val="16"/>
          <w:szCs w:val="16"/>
          <w:lang w:eastAsia="en-US"/>
        </w:rPr>
        <w:t xml:space="preserve"> ietekmes uz kultūrvides attīstību Lietuvā Eiropas Savienības fondu 2007.-2013. gada plānošanas periodā izvērtējuma ziņojums; </w:t>
      </w:r>
      <w:hyperlink r:id="rId3" w:history="1">
        <w:r w:rsidRPr="00ED5DCE">
          <w:rPr>
            <w:rFonts w:eastAsiaTheme="minorHAnsi" w:cs="Arial"/>
            <w:i/>
            <w:color w:val="808080" w:themeColor="background1" w:themeShade="80"/>
            <w:sz w:val="16"/>
            <w:szCs w:val="16"/>
            <w:lang w:eastAsia="en-US"/>
          </w:rPr>
          <w:t>http://www.esinvesticijos.lt/lt/media/download?id=6531&amp;h=fa0ec&amp;t=2016%2010%2013%20ES%20paramos%20kult%C5%ABrai%20vertinimo%20galutin%C4%97%20ataskaita.pdf</w:t>
        </w:r>
      </w:hyperlink>
      <w:r w:rsidRPr="00ED5DCE">
        <w:rPr>
          <w:rFonts w:eastAsiaTheme="minorHAnsi" w:cs="Arial"/>
          <w:i/>
          <w:color w:val="808080" w:themeColor="background1" w:themeShade="80"/>
          <w:sz w:val="16"/>
          <w:szCs w:val="16"/>
          <w:lang w:eastAsia="en-US"/>
        </w:rPr>
        <w:t>, 47.lpp</w:t>
      </w:r>
    </w:p>
  </w:footnote>
  <w:footnote w:id="7">
    <w:p w14:paraId="6EF8B37B"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Piemēram, Lietuvas mākslas muzejs, kas īstenoja četrus projektus, Lietuvas Jūras muzejs, kas īstenoja trīs projektus, ieskaitot Delfīnu terapijas centra izveidi, kam tika piešķirti 9,3 miljoni eiro, 47.lpp.</w:t>
      </w:r>
    </w:p>
  </w:footnote>
  <w:footnote w:id="8">
    <w:p w14:paraId="560A6D58"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vertAlign w:val="superscript"/>
          <w:lang w:eastAsia="en-US"/>
        </w:rPr>
        <w:t xml:space="preserve"> </w:t>
      </w:r>
      <w:r w:rsidRPr="00ED5DCE">
        <w:rPr>
          <w:rFonts w:eastAsiaTheme="minorHAnsi" w:cs="Arial"/>
          <w:i/>
          <w:color w:val="808080" w:themeColor="background1" w:themeShade="80"/>
          <w:sz w:val="16"/>
          <w:szCs w:val="16"/>
          <w:lang w:eastAsia="en-US"/>
        </w:rPr>
        <w:t>51.lpp</w:t>
      </w:r>
    </w:p>
  </w:footnote>
  <w:footnote w:id="9">
    <w:p w14:paraId="6911A5F4" w14:textId="77777777" w:rsidR="00AF07F8" w:rsidRPr="00ED5DCE" w:rsidRDefault="00AF07F8" w:rsidP="006B1B2B">
      <w:pPr>
        <w:pStyle w:val="Vresteksts"/>
        <w:rPr>
          <w:i/>
          <w:color w:val="808080" w:themeColor="background1" w:themeShade="80"/>
          <w:sz w:val="16"/>
          <w:szCs w:val="16"/>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Darbības programmu 2007.-2013. gada sasniegto mērķu kvalitatīvs un kvantitatīvs izvērtējums, </w:t>
      </w:r>
      <w:hyperlink r:id="rId4" w:history="1">
        <w:r w:rsidRPr="00ED5DCE">
          <w:rPr>
            <w:rFonts w:eastAsiaTheme="minorHAnsi" w:cs="Arial"/>
            <w:i/>
            <w:color w:val="808080" w:themeColor="background1" w:themeShade="80"/>
            <w:sz w:val="16"/>
            <w:szCs w:val="16"/>
            <w:lang w:eastAsia="en-US"/>
          </w:rPr>
          <w:t>http://www.esinvesticijos.lt/lt/media/download?id=8783&amp;h=463db&amp;t=14%20priedas_ES%20investiciju%20naudos%20apzvalga_EN.docx</w:t>
        </w:r>
      </w:hyperlink>
      <w:r w:rsidRPr="00ED5DCE">
        <w:rPr>
          <w:i/>
          <w:color w:val="808080" w:themeColor="background1" w:themeShade="80"/>
          <w:sz w:val="16"/>
          <w:szCs w:val="16"/>
        </w:rPr>
        <w:t xml:space="preserve"> </w:t>
      </w:r>
    </w:p>
  </w:footnote>
  <w:footnote w:id="10">
    <w:p w14:paraId="65186B70" w14:textId="77777777" w:rsidR="00AF07F8" w:rsidRPr="00B161AF" w:rsidRDefault="00AF07F8" w:rsidP="006B1B2B">
      <w:pPr>
        <w:pStyle w:val="Vresteksts"/>
        <w:rPr>
          <w:i/>
          <w:sz w:val="16"/>
          <w:szCs w:val="16"/>
        </w:rPr>
      </w:pPr>
      <w:r w:rsidRPr="00ED5DCE">
        <w:rPr>
          <w:rFonts w:eastAsiaTheme="minorHAnsi" w:cs="Arial"/>
          <w:i/>
          <w:color w:val="808080" w:themeColor="background1" w:themeShade="80"/>
          <w:sz w:val="16"/>
          <w:szCs w:val="16"/>
          <w:vertAlign w:val="superscript"/>
          <w:lang w:eastAsia="en-US"/>
        </w:rPr>
        <w:footnoteRef/>
      </w:r>
      <w:hyperlink r:id="rId5" w:history="1">
        <w:r w:rsidRPr="00ED5DCE">
          <w:rPr>
            <w:rFonts w:eastAsiaTheme="minorHAnsi" w:cs="Arial"/>
            <w:i/>
            <w:color w:val="808080" w:themeColor="background1" w:themeShade="80"/>
            <w:sz w:val="16"/>
            <w:szCs w:val="16"/>
            <w:lang w:eastAsia="en-US"/>
          </w:rPr>
          <w:t>http://www.esinvesticijos.lt/lt/media/download?id=6531&amp;h=fa0ec&amp;t=2016%2010%2013%20ES%20paramos%20kult%C5%ABrai%20vertinimo%20galutin%C4%97%20ataskaita.pdf</w:t>
        </w:r>
      </w:hyperlink>
      <w:r w:rsidRPr="00ED5DCE">
        <w:rPr>
          <w:rFonts w:eastAsiaTheme="minorHAnsi" w:cs="Arial"/>
          <w:i/>
          <w:color w:val="808080" w:themeColor="background1" w:themeShade="80"/>
          <w:sz w:val="16"/>
          <w:szCs w:val="16"/>
          <w:lang w:eastAsia="en-US"/>
        </w:rPr>
        <w:t>, 50.lpp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8546E"/>
    <w:multiLevelType w:val="hybridMultilevel"/>
    <w:tmpl w:val="A536A25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05402B30"/>
    <w:multiLevelType w:val="hybridMultilevel"/>
    <w:tmpl w:val="1C0A0BA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14FB0A87"/>
    <w:multiLevelType w:val="hybridMultilevel"/>
    <w:tmpl w:val="1F92641E"/>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18D67B68"/>
    <w:multiLevelType w:val="hybridMultilevel"/>
    <w:tmpl w:val="43C8A0E8"/>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1D306047"/>
    <w:multiLevelType w:val="hybridMultilevel"/>
    <w:tmpl w:val="F958400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1EFF48D6"/>
    <w:multiLevelType w:val="hybridMultilevel"/>
    <w:tmpl w:val="CABE581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21626324"/>
    <w:multiLevelType w:val="hybridMultilevel"/>
    <w:tmpl w:val="3680185C"/>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nsid w:val="287A7FDB"/>
    <w:multiLevelType w:val="hybridMultilevel"/>
    <w:tmpl w:val="8394634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2CF8614B"/>
    <w:multiLevelType w:val="hybridMultilevel"/>
    <w:tmpl w:val="41FA72A2"/>
    <w:lvl w:ilvl="0" w:tplc="203889E8">
      <w:start w:val="1"/>
      <w:numFmt w:val="bullet"/>
      <w:lvlText w:val=""/>
      <w:lvlJc w:val="left"/>
      <w:pPr>
        <w:ind w:left="644" w:hanging="360"/>
      </w:pPr>
      <w:rPr>
        <w:rFonts w:ascii="Wingdings" w:hAnsi="Wingdings" w:hint="default"/>
        <w:color w:val="008080"/>
      </w:rPr>
    </w:lvl>
    <w:lvl w:ilvl="1" w:tplc="04260003" w:tentative="1">
      <w:start w:val="1"/>
      <w:numFmt w:val="bullet"/>
      <w:lvlText w:val="o"/>
      <w:lvlJc w:val="left"/>
      <w:pPr>
        <w:ind w:left="1364" w:hanging="360"/>
      </w:pPr>
      <w:rPr>
        <w:rFonts w:ascii="Courier New" w:hAnsi="Courier New" w:cs="Courier New" w:hint="default"/>
      </w:rPr>
    </w:lvl>
    <w:lvl w:ilvl="2" w:tplc="04260005" w:tentative="1">
      <w:start w:val="1"/>
      <w:numFmt w:val="bullet"/>
      <w:lvlText w:val=""/>
      <w:lvlJc w:val="left"/>
      <w:pPr>
        <w:ind w:left="2084" w:hanging="360"/>
      </w:pPr>
      <w:rPr>
        <w:rFonts w:ascii="Wingdings" w:hAnsi="Wingdings" w:hint="default"/>
      </w:rPr>
    </w:lvl>
    <w:lvl w:ilvl="3" w:tplc="04260001" w:tentative="1">
      <w:start w:val="1"/>
      <w:numFmt w:val="bullet"/>
      <w:lvlText w:val=""/>
      <w:lvlJc w:val="left"/>
      <w:pPr>
        <w:ind w:left="2804" w:hanging="360"/>
      </w:pPr>
      <w:rPr>
        <w:rFonts w:ascii="Symbol" w:hAnsi="Symbol" w:hint="default"/>
      </w:rPr>
    </w:lvl>
    <w:lvl w:ilvl="4" w:tplc="04260003" w:tentative="1">
      <w:start w:val="1"/>
      <w:numFmt w:val="bullet"/>
      <w:lvlText w:val="o"/>
      <w:lvlJc w:val="left"/>
      <w:pPr>
        <w:ind w:left="3524" w:hanging="360"/>
      </w:pPr>
      <w:rPr>
        <w:rFonts w:ascii="Courier New" w:hAnsi="Courier New" w:cs="Courier New" w:hint="default"/>
      </w:rPr>
    </w:lvl>
    <w:lvl w:ilvl="5" w:tplc="04260005" w:tentative="1">
      <w:start w:val="1"/>
      <w:numFmt w:val="bullet"/>
      <w:lvlText w:val=""/>
      <w:lvlJc w:val="left"/>
      <w:pPr>
        <w:ind w:left="4244" w:hanging="360"/>
      </w:pPr>
      <w:rPr>
        <w:rFonts w:ascii="Wingdings" w:hAnsi="Wingdings" w:hint="default"/>
      </w:rPr>
    </w:lvl>
    <w:lvl w:ilvl="6" w:tplc="04260001" w:tentative="1">
      <w:start w:val="1"/>
      <w:numFmt w:val="bullet"/>
      <w:lvlText w:val=""/>
      <w:lvlJc w:val="left"/>
      <w:pPr>
        <w:ind w:left="4964" w:hanging="360"/>
      </w:pPr>
      <w:rPr>
        <w:rFonts w:ascii="Symbol" w:hAnsi="Symbol" w:hint="default"/>
      </w:rPr>
    </w:lvl>
    <w:lvl w:ilvl="7" w:tplc="04260003" w:tentative="1">
      <w:start w:val="1"/>
      <w:numFmt w:val="bullet"/>
      <w:lvlText w:val="o"/>
      <w:lvlJc w:val="left"/>
      <w:pPr>
        <w:ind w:left="5684" w:hanging="360"/>
      </w:pPr>
      <w:rPr>
        <w:rFonts w:ascii="Courier New" w:hAnsi="Courier New" w:cs="Courier New" w:hint="default"/>
      </w:rPr>
    </w:lvl>
    <w:lvl w:ilvl="8" w:tplc="04260005" w:tentative="1">
      <w:start w:val="1"/>
      <w:numFmt w:val="bullet"/>
      <w:lvlText w:val=""/>
      <w:lvlJc w:val="left"/>
      <w:pPr>
        <w:ind w:left="6404" w:hanging="360"/>
      </w:pPr>
      <w:rPr>
        <w:rFonts w:ascii="Wingdings" w:hAnsi="Wingdings" w:hint="default"/>
      </w:rPr>
    </w:lvl>
  </w:abstractNum>
  <w:abstractNum w:abstractNumId="9">
    <w:nsid w:val="2D763152"/>
    <w:multiLevelType w:val="hybridMultilevel"/>
    <w:tmpl w:val="E9B8DBD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2DF830C7"/>
    <w:multiLevelType w:val="hybridMultilevel"/>
    <w:tmpl w:val="975E73E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334E71E6"/>
    <w:multiLevelType w:val="hybridMultilevel"/>
    <w:tmpl w:val="C7DAB29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nsid w:val="34CA55DF"/>
    <w:multiLevelType w:val="hybridMultilevel"/>
    <w:tmpl w:val="645EC310"/>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nsid w:val="36CD0CB5"/>
    <w:multiLevelType w:val="hybridMultilevel"/>
    <w:tmpl w:val="578266B6"/>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nsid w:val="3C2172B3"/>
    <w:multiLevelType w:val="hybridMultilevel"/>
    <w:tmpl w:val="99A4904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nsid w:val="417E4E69"/>
    <w:multiLevelType w:val="hybridMultilevel"/>
    <w:tmpl w:val="8DC2E03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nsid w:val="456624AD"/>
    <w:multiLevelType w:val="hybridMultilevel"/>
    <w:tmpl w:val="90D83FC2"/>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nsid w:val="45BF005E"/>
    <w:multiLevelType w:val="hybridMultilevel"/>
    <w:tmpl w:val="91307A16"/>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nsid w:val="4729426F"/>
    <w:multiLevelType w:val="hybridMultilevel"/>
    <w:tmpl w:val="CAA6EDEE"/>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4CAA47D1"/>
    <w:multiLevelType w:val="hybridMultilevel"/>
    <w:tmpl w:val="EA9ACB6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nsid w:val="50A642EF"/>
    <w:multiLevelType w:val="multilevel"/>
    <w:tmpl w:val="1362EC8A"/>
    <w:lvl w:ilvl="0">
      <w:start w:val="1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nsid w:val="552536DA"/>
    <w:multiLevelType w:val="hybridMultilevel"/>
    <w:tmpl w:val="F27ADEA2"/>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nsid w:val="56FC5909"/>
    <w:multiLevelType w:val="hybridMultilevel"/>
    <w:tmpl w:val="391EA12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nsid w:val="588834D0"/>
    <w:multiLevelType w:val="hybridMultilevel"/>
    <w:tmpl w:val="94086A8C"/>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nsid w:val="5CE03C29"/>
    <w:multiLevelType w:val="hybridMultilevel"/>
    <w:tmpl w:val="DF36A18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nsid w:val="5E9E165A"/>
    <w:multiLevelType w:val="hybridMultilevel"/>
    <w:tmpl w:val="7B2A7F4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nsid w:val="6167734C"/>
    <w:multiLevelType w:val="hybridMultilevel"/>
    <w:tmpl w:val="D03C235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nsid w:val="61A6763D"/>
    <w:multiLevelType w:val="hybridMultilevel"/>
    <w:tmpl w:val="7FE4B45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nsid w:val="65094E1B"/>
    <w:multiLevelType w:val="hybridMultilevel"/>
    <w:tmpl w:val="23EC95F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nsid w:val="70C90E56"/>
    <w:multiLevelType w:val="hybridMultilevel"/>
    <w:tmpl w:val="B55052F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nsid w:val="73E4310E"/>
    <w:multiLevelType w:val="hybridMultilevel"/>
    <w:tmpl w:val="36081AAA"/>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nsid w:val="77042187"/>
    <w:multiLevelType w:val="hybridMultilevel"/>
    <w:tmpl w:val="202ECD4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nsid w:val="782C77C8"/>
    <w:multiLevelType w:val="hybridMultilevel"/>
    <w:tmpl w:val="0C2AE4AC"/>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nsid w:val="79D371E0"/>
    <w:multiLevelType w:val="hybridMultilevel"/>
    <w:tmpl w:val="A596E43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nsid w:val="7B413AD9"/>
    <w:multiLevelType w:val="hybridMultilevel"/>
    <w:tmpl w:val="BFD61084"/>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5"/>
  </w:num>
  <w:num w:numId="4">
    <w:abstractNumId w:val="18"/>
  </w:num>
  <w:num w:numId="5">
    <w:abstractNumId w:val="16"/>
  </w:num>
  <w:num w:numId="6">
    <w:abstractNumId w:val="17"/>
  </w:num>
  <w:num w:numId="7">
    <w:abstractNumId w:val="13"/>
  </w:num>
  <w:num w:numId="8">
    <w:abstractNumId w:val="23"/>
  </w:num>
  <w:num w:numId="9">
    <w:abstractNumId w:val="30"/>
  </w:num>
  <w:num w:numId="10">
    <w:abstractNumId w:val="3"/>
  </w:num>
  <w:num w:numId="11">
    <w:abstractNumId w:val="6"/>
  </w:num>
  <w:num w:numId="12">
    <w:abstractNumId w:val="7"/>
  </w:num>
  <w:num w:numId="13">
    <w:abstractNumId w:val="34"/>
  </w:num>
  <w:num w:numId="14">
    <w:abstractNumId w:val="32"/>
  </w:num>
  <w:num w:numId="15">
    <w:abstractNumId w:val="2"/>
  </w:num>
  <w:num w:numId="16">
    <w:abstractNumId w:val="21"/>
  </w:num>
  <w:num w:numId="17">
    <w:abstractNumId w:val="20"/>
  </w:num>
  <w:num w:numId="18">
    <w:abstractNumId w:val="28"/>
  </w:num>
  <w:num w:numId="19">
    <w:abstractNumId w:val="4"/>
  </w:num>
  <w:num w:numId="20">
    <w:abstractNumId w:val="5"/>
  </w:num>
  <w:num w:numId="21">
    <w:abstractNumId w:val="33"/>
  </w:num>
  <w:num w:numId="22">
    <w:abstractNumId w:val="22"/>
  </w:num>
  <w:num w:numId="23">
    <w:abstractNumId w:val="24"/>
  </w:num>
  <w:num w:numId="24">
    <w:abstractNumId w:val="29"/>
  </w:num>
  <w:num w:numId="25">
    <w:abstractNumId w:val="0"/>
  </w:num>
  <w:num w:numId="26">
    <w:abstractNumId w:val="10"/>
  </w:num>
  <w:num w:numId="27">
    <w:abstractNumId w:val="27"/>
  </w:num>
  <w:num w:numId="28">
    <w:abstractNumId w:val="9"/>
  </w:num>
  <w:num w:numId="29">
    <w:abstractNumId w:val="11"/>
  </w:num>
  <w:num w:numId="30">
    <w:abstractNumId w:val="12"/>
  </w:num>
  <w:num w:numId="31">
    <w:abstractNumId w:val="26"/>
  </w:num>
  <w:num w:numId="32">
    <w:abstractNumId w:val="31"/>
  </w:num>
  <w:num w:numId="33">
    <w:abstractNumId w:val="14"/>
  </w:num>
  <w:num w:numId="34">
    <w:abstractNumId w:val="8"/>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50D"/>
    <w:rsid w:val="000052A6"/>
    <w:rsid w:val="00067B65"/>
    <w:rsid w:val="00074458"/>
    <w:rsid w:val="000C47AA"/>
    <w:rsid w:val="00155A6B"/>
    <w:rsid w:val="001F12CA"/>
    <w:rsid w:val="00262AE9"/>
    <w:rsid w:val="0028756B"/>
    <w:rsid w:val="00302856"/>
    <w:rsid w:val="0030453B"/>
    <w:rsid w:val="003A2FA7"/>
    <w:rsid w:val="003A6F9E"/>
    <w:rsid w:val="00402ED6"/>
    <w:rsid w:val="004229FA"/>
    <w:rsid w:val="004F5123"/>
    <w:rsid w:val="00576AF4"/>
    <w:rsid w:val="00606281"/>
    <w:rsid w:val="006B1B2B"/>
    <w:rsid w:val="00742E30"/>
    <w:rsid w:val="009663EE"/>
    <w:rsid w:val="009D7E22"/>
    <w:rsid w:val="00A1214D"/>
    <w:rsid w:val="00A41177"/>
    <w:rsid w:val="00AF07F8"/>
    <w:rsid w:val="00C1443D"/>
    <w:rsid w:val="00CD687A"/>
    <w:rsid w:val="00D0436D"/>
    <w:rsid w:val="00D8650D"/>
    <w:rsid w:val="00DD43DE"/>
    <w:rsid w:val="00DE5F3C"/>
    <w:rsid w:val="00E51C7E"/>
    <w:rsid w:val="00E5650C"/>
    <w:rsid w:val="00E7292B"/>
    <w:rsid w:val="00EB46A4"/>
    <w:rsid w:val="00ED5DCE"/>
    <w:rsid w:val="00F251DE"/>
    <w:rsid w:val="00F333AA"/>
    <w:rsid w:val="00F90A2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ED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aliases w:val="TabelEcorys,HTG,Tabellengitternetz"/>
    <w:basedOn w:val="Parastatabula"/>
    <w:uiPriority w:val="5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6B1B2B"/>
    <w:rPr>
      <w:sz w:val="16"/>
      <w:szCs w:val="16"/>
    </w:rPr>
  </w:style>
  <w:style w:type="paragraph" w:styleId="Komentrateksts">
    <w:name w:val="annotation text"/>
    <w:basedOn w:val="Parasts"/>
    <w:link w:val="KomentratekstsRakstz"/>
    <w:uiPriority w:val="99"/>
    <w:unhideWhenUsed/>
    <w:rsid w:val="006B1B2B"/>
    <w:pPr>
      <w:spacing w:after="0" w:line="240" w:lineRule="auto"/>
      <w:jc w:val="both"/>
    </w:pPr>
    <w:rPr>
      <w:rFonts w:ascii="Arial" w:hAnsi="Arial" w:cs="Times New Roman"/>
      <w:sz w:val="20"/>
      <w:szCs w:val="20"/>
    </w:rPr>
  </w:style>
  <w:style w:type="character" w:customStyle="1" w:styleId="KomentratekstsRakstz">
    <w:name w:val="Komentāra teksts Rakstz."/>
    <w:basedOn w:val="Noklusjumarindkopasfonts"/>
    <w:link w:val="Komentrateksts"/>
    <w:uiPriority w:val="99"/>
    <w:rsid w:val="006B1B2B"/>
    <w:rPr>
      <w:rFonts w:ascii="Arial" w:hAnsi="Arial" w:cs="Times New Roman"/>
      <w:sz w:val="20"/>
      <w:szCs w:val="20"/>
    </w:rPr>
  </w:style>
  <w:style w:type="paragraph" w:styleId="Balonteksts">
    <w:name w:val="Balloon Text"/>
    <w:basedOn w:val="Parasts"/>
    <w:link w:val="BalontekstsRakstz"/>
    <w:uiPriority w:val="99"/>
    <w:semiHidden/>
    <w:unhideWhenUsed/>
    <w:rsid w:val="006B1B2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6B1B2B"/>
    <w:rPr>
      <w:rFonts w:ascii="Segoe UI" w:hAnsi="Segoe UI" w:cs="Segoe UI"/>
      <w:sz w:val="18"/>
      <w:szCs w:val="18"/>
    </w:rPr>
  </w:style>
  <w:style w:type="paragraph" w:styleId="Komentratma">
    <w:name w:val="annotation subject"/>
    <w:basedOn w:val="Komentrateksts"/>
    <w:next w:val="Komentrateksts"/>
    <w:link w:val="KomentratmaRakstz"/>
    <w:uiPriority w:val="99"/>
    <w:semiHidden/>
    <w:unhideWhenUsed/>
    <w:rsid w:val="00A1214D"/>
    <w:pPr>
      <w:spacing w:after="160"/>
      <w:jc w:val="left"/>
    </w:pPr>
    <w:rPr>
      <w:rFonts w:asciiTheme="minorHAnsi" w:hAnsiTheme="minorHAnsi" w:cstheme="minorBidi"/>
      <w:b/>
      <w:bCs/>
    </w:rPr>
  </w:style>
  <w:style w:type="character" w:customStyle="1" w:styleId="KomentratmaRakstz">
    <w:name w:val="Komentāra tēma Rakstz."/>
    <w:basedOn w:val="KomentratekstsRakstz"/>
    <w:link w:val="Komentratma"/>
    <w:uiPriority w:val="99"/>
    <w:semiHidden/>
    <w:rsid w:val="00A1214D"/>
    <w:rPr>
      <w:rFonts w:ascii="Arial" w:hAnsi="Arial" w:cs="Times New Roman"/>
      <w:b/>
      <w:bCs/>
      <w:sz w:val="20"/>
      <w:szCs w:val="20"/>
    </w:rPr>
  </w:style>
  <w:style w:type="paragraph" w:styleId="Galvene">
    <w:name w:val="header"/>
    <w:basedOn w:val="Parasts"/>
    <w:link w:val="GalveneRakstz"/>
    <w:uiPriority w:val="99"/>
    <w:unhideWhenUsed/>
    <w:rsid w:val="00F333AA"/>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F333AA"/>
  </w:style>
  <w:style w:type="paragraph" w:styleId="Kjene">
    <w:name w:val="footer"/>
    <w:basedOn w:val="Parasts"/>
    <w:link w:val="KjeneRakstz"/>
    <w:uiPriority w:val="99"/>
    <w:unhideWhenUsed/>
    <w:rsid w:val="00F333AA"/>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F333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aliases w:val="TabelEcorys,HTG,Tabellengitternetz"/>
    <w:basedOn w:val="Parastatabula"/>
    <w:uiPriority w:val="5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6B1B2B"/>
    <w:rPr>
      <w:sz w:val="16"/>
      <w:szCs w:val="16"/>
    </w:rPr>
  </w:style>
  <w:style w:type="paragraph" w:styleId="Komentrateksts">
    <w:name w:val="annotation text"/>
    <w:basedOn w:val="Parasts"/>
    <w:link w:val="KomentratekstsRakstz"/>
    <w:uiPriority w:val="99"/>
    <w:unhideWhenUsed/>
    <w:rsid w:val="006B1B2B"/>
    <w:pPr>
      <w:spacing w:after="0" w:line="240" w:lineRule="auto"/>
      <w:jc w:val="both"/>
    </w:pPr>
    <w:rPr>
      <w:rFonts w:ascii="Arial" w:hAnsi="Arial" w:cs="Times New Roman"/>
      <w:sz w:val="20"/>
      <w:szCs w:val="20"/>
    </w:rPr>
  </w:style>
  <w:style w:type="character" w:customStyle="1" w:styleId="KomentratekstsRakstz">
    <w:name w:val="Komentāra teksts Rakstz."/>
    <w:basedOn w:val="Noklusjumarindkopasfonts"/>
    <w:link w:val="Komentrateksts"/>
    <w:uiPriority w:val="99"/>
    <w:rsid w:val="006B1B2B"/>
    <w:rPr>
      <w:rFonts w:ascii="Arial" w:hAnsi="Arial" w:cs="Times New Roman"/>
      <w:sz w:val="20"/>
      <w:szCs w:val="20"/>
    </w:rPr>
  </w:style>
  <w:style w:type="paragraph" w:styleId="Balonteksts">
    <w:name w:val="Balloon Text"/>
    <w:basedOn w:val="Parasts"/>
    <w:link w:val="BalontekstsRakstz"/>
    <w:uiPriority w:val="99"/>
    <w:semiHidden/>
    <w:unhideWhenUsed/>
    <w:rsid w:val="006B1B2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6B1B2B"/>
    <w:rPr>
      <w:rFonts w:ascii="Segoe UI" w:hAnsi="Segoe UI" w:cs="Segoe UI"/>
      <w:sz w:val="18"/>
      <w:szCs w:val="18"/>
    </w:rPr>
  </w:style>
  <w:style w:type="paragraph" w:styleId="Komentratma">
    <w:name w:val="annotation subject"/>
    <w:basedOn w:val="Komentrateksts"/>
    <w:next w:val="Komentrateksts"/>
    <w:link w:val="KomentratmaRakstz"/>
    <w:uiPriority w:val="99"/>
    <w:semiHidden/>
    <w:unhideWhenUsed/>
    <w:rsid w:val="00A1214D"/>
    <w:pPr>
      <w:spacing w:after="160"/>
      <w:jc w:val="left"/>
    </w:pPr>
    <w:rPr>
      <w:rFonts w:asciiTheme="minorHAnsi" w:hAnsiTheme="minorHAnsi" w:cstheme="minorBidi"/>
      <w:b/>
      <w:bCs/>
    </w:rPr>
  </w:style>
  <w:style w:type="character" w:customStyle="1" w:styleId="KomentratmaRakstz">
    <w:name w:val="Komentāra tēma Rakstz."/>
    <w:basedOn w:val="KomentratekstsRakstz"/>
    <w:link w:val="Komentratma"/>
    <w:uiPriority w:val="99"/>
    <w:semiHidden/>
    <w:rsid w:val="00A1214D"/>
    <w:rPr>
      <w:rFonts w:ascii="Arial" w:hAnsi="Arial" w:cs="Times New Roman"/>
      <w:b/>
      <w:bCs/>
      <w:sz w:val="20"/>
      <w:szCs w:val="20"/>
    </w:rPr>
  </w:style>
  <w:style w:type="paragraph" w:styleId="Galvene">
    <w:name w:val="header"/>
    <w:basedOn w:val="Parasts"/>
    <w:link w:val="GalveneRakstz"/>
    <w:uiPriority w:val="99"/>
    <w:unhideWhenUsed/>
    <w:rsid w:val="00F333AA"/>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F333AA"/>
  </w:style>
  <w:style w:type="paragraph" w:styleId="Kjene">
    <w:name w:val="footer"/>
    <w:basedOn w:val="Parasts"/>
    <w:link w:val="KjeneRakstz"/>
    <w:uiPriority w:val="99"/>
    <w:unhideWhenUsed/>
    <w:rsid w:val="00F333AA"/>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F33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353;tija.l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53;altini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esinvesticijos.lt/lt/media/download?id=6531&amp;h=fa0ec&amp;t=2016%2010%2013%20ES%20paramos%20kult%C5%ABrai%20vertinimo%20galutin%C4%97%20ataskaita.pdf" TargetMode="External"/><Relationship Id="rId2" Type="http://schemas.openxmlformats.org/officeDocument/2006/relationships/hyperlink" Target="https://ec.europa.eu/eurostat/documents/3217494/7551543/KS-04-15-737-EN-N.pdf" TargetMode="External"/><Relationship Id="rId1" Type="http://schemas.openxmlformats.org/officeDocument/2006/relationships/hyperlink" Target="http://www.esinvesticijos.lt/lt/media/download?id=6531&amp;h=fa0ec&amp;t=2016%2010%2013%20ES%20paramos%20kult%C5%ABrai%20vertinimo%20galutin%C4%97%20ataskaita.pdf" TargetMode="External"/><Relationship Id="rId5" Type="http://schemas.openxmlformats.org/officeDocument/2006/relationships/hyperlink" Target="http://www.esinvesticijos.lt/lt/media/download?id=6531&amp;h=fa0ec&amp;t=2016%2010%2013%20ES%20paramos%20kult%C5%ABrai%20vertinimo%20galutin%C4%97%20ataskaita.pdf" TargetMode="External"/><Relationship Id="rId4" Type="http://schemas.openxmlformats.org/officeDocument/2006/relationships/hyperlink" Target="http://www.esinvesticijos.lt/lt/media/download?id=8783&amp;h=463db&amp;t=14%20priedas_ES%20investiciju%20naudos%20apzvalga_E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12687</Words>
  <Characters>7232</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VRAA</Company>
  <LinksUpToDate>false</LinksUpToDate>
  <CharactersWithSpaces>19880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Krupenko</dc:creator>
  <cp:keywords/>
  <dc:description/>
  <cp:lastModifiedBy>Zanda Jansone</cp:lastModifiedBy>
  <cp:revision>11</cp:revision>
  <dcterms:created xsi:type="dcterms:W3CDTF">2019-01-06T09:36:00Z</dcterms:created>
  <dcterms:modified xsi:type="dcterms:W3CDTF">2019-02-06T18:05:00Z</dcterms:modified>
</cp:coreProperties>
</file>